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50A75A" w14:textId="4DF28A64" w:rsidR="008119EE" w:rsidRPr="00464276" w:rsidRDefault="008119EE" w:rsidP="008119EE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64276">
        <w:rPr>
          <w:rFonts w:ascii="Times New Roman" w:hAnsi="Times New Roman" w:cs="Times New Roman"/>
          <w:b/>
          <w:bCs/>
          <w:sz w:val="32"/>
          <w:szCs w:val="32"/>
        </w:rPr>
        <w:t>Опис показників</w:t>
      </w:r>
      <w:r w:rsidR="00464276" w:rsidRPr="00464276">
        <w:rPr>
          <w:rFonts w:ascii="Times New Roman" w:hAnsi="Times New Roman" w:cs="Times New Roman"/>
          <w:b/>
          <w:bCs/>
          <w:sz w:val="32"/>
          <w:szCs w:val="32"/>
        </w:rPr>
        <w:t xml:space="preserve"> за договорами </w:t>
      </w:r>
      <w:r w:rsidR="009F3573">
        <w:rPr>
          <w:rFonts w:ascii="Times New Roman" w:hAnsi="Times New Roman" w:cs="Times New Roman"/>
          <w:b/>
          <w:bCs/>
          <w:sz w:val="32"/>
          <w:szCs w:val="32"/>
        </w:rPr>
        <w:t>міжнародного</w:t>
      </w:r>
      <w:r w:rsidR="00464276" w:rsidRPr="00464276">
        <w:rPr>
          <w:rFonts w:ascii="Times New Roman" w:hAnsi="Times New Roman" w:cs="Times New Roman"/>
          <w:b/>
          <w:bCs/>
          <w:sz w:val="32"/>
          <w:szCs w:val="32"/>
        </w:rPr>
        <w:t xml:space="preserve"> страхування</w:t>
      </w:r>
      <w:r w:rsidRPr="00464276">
        <w:rPr>
          <w:rFonts w:ascii="Times New Roman" w:hAnsi="Times New Roman" w:cs="Times New Roman"/>
          <w:b/>
          <w:bCs/>
          <w:sz w:val="32"/>
          <w:szCs w:val="32"/>
        </w:rPr>
        <w:t xml:space="preserve"> для публічних дашбордів</w:t>
      </w:r>
    </w:p>
    <w:p w14:paraId="6C24F149" w14:textId="29D41B0C" w:rsidR="00D6778F" w:rsidRPr="00464276" w:rsidRDefault="00464276" w:rsidP="00CE2ABA">
      <w:pPr>
        <w:pStyle w:val="1"/>
        <w:numPr>
          <w:ilvl w:val="0"/>
          <w:numId w:val="5"/>
        </w:numPr>
      </w:pPr>
      <w:r>
        <w:t>Основні показники ринку ОСПВВНТЗ та у розрізі Страховиків</w:t>
      </w:r>
    </w:p>
    <w:tbl>
      <w:tblPr>
        <w:tblStyle w:val="af"/>
        <w:tblW w:w="14884" w:type="dxa"/>
        <w:tblInd w:w="-147" w:type="dxa"/>
        <w:tblLook w:val="04A0" w:firstRow="1" w:lastRow="0" w:firstColumn="1" w:lastColumn="0" w:noHBand="0" w:noVBand="1"/>
      </w:tblPr>
      <w:tblGrid>
        <w:gridCol w:w="506"/>
        <w:gridCol w:w="2471"/>
        <w:gridCol w:w="9079"/>
        <w:gridCol w:w="1412"/>
        <w:gridCol w:w="1416"/>
      </w:tblGrid>
      <w:tr w:rsidR="00464276" w:rsidRPr="003B333F" w14:paraId="67F5FE38" w14:textId="1631CA07" w:rsidTr="008D6555">
        <w:trPr>
          <w:tblHeader/>
        </w:trPr>
        <w:tc>
          <w:tcPr>
            <w:tcW w:w="506" w:type="dxa"/>
            <w:vMerge w:val="restart"/>
            <w:shd w:val="clear" w:color="auto" w:fill="D9D9D9" w:themeFill="background1" w:themeFillShade="D9"/>
            <w:vAlign w:val="center"/>
          </w:tcPr>
          <w:p w14:paraId="00F08F5E" w14:textId="77777777" w:rsidR="00464276" w:rsidRPr="00B961CC" w:rsidRDefault="00464276" w:rsidP="004642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71" w:type="dxa"/>
            <w:vMerge w:val="restart"/>
            <w:shd w:val="clear" w:color="auto" w:fill="D9D9D9" w:themeFill="background1" w:themeFillShade="D9"/>
            <w:vAlign w:val="center"/>
          </w:tcPr>
          <w:p w14:paraId="27B8BC7A" w14:textId="77777777" w:rsidR="00464276" w:rsidRPr="00B961CC" w:rsidRDefault="00464276" w:rsidP="00464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ПОКАЗНИК</w:t>
            </w:r>
          </w:p>
        </w:tc>
        <w:tc>
          <w:tcPr>
            <w:tcW w:w="9079" w:type="dxa"/>
            <w:vMerge w:val="restart"/>
            <w:shd w:val="clear" w:color="auto" w:fill="D9D9D9" w:themeFill="background1" w:themeFillShade="D9"/>
            <w:vAlign w:val="center"/>
          </w:tcPr>
          <w:p w14:paraId="7523580E" w14:textId="77777777" w:rsidR="00464276" w:rsidRPr="00B961CC" w:rsidRDefault="00464276" w:rsidP="004642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2828" w:type="dxa"/>
            <w:gridSpan w:val="2"/>
            <w:shd w:val="clear" w:color="auto" w:fill="D9D9D9" w:themeFill="background1" w:themeFillShade="D9"/>
          </w:tcPr>
          <w:p w14:paraId="622CE44D" w14:textId="39AE47A6" w:rsidR="00464276" w:rsidRPr="00B961CC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Відображення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дашборді</w:t>
            </w:r>
            <w:proofErr w:type="spellEnd"/>
          </w:p>
        </w:tc>
      </w:tr>
      <w:tr w:rsidR="00464276" w:rsidRPr="003B333F" w14:paraId="5805CC9B" w14:textId="69D3BB22" w:rsidTr="008D6555">
        <w:trPr>
          <w:tblHeader/>
        </w:trPr>
        <w:tc>
          <w:tcPr>
            <w:tcW w:w="506" w:type="dxa"/>
            <w:vMerge/>
            <w:shd w:val="clear" w:color="auto" w:fill="D9E2F3" w:themeFill="accent5" w:themeFillTint="33"/>
          </w:tcPr>
          <w:p w14:paraId="447AE0B9" w14:textId="77777777" w:rsidR="00464276" w:rsidRPr="00B961CC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71" w:type="dxa"/>
            <w:vMerge/>
            <w:shd w:val="clear" w:color="auto" w:fill="D9E2F3" w:themeFill="accent5" w:themeFillTint="33"/>
          </w:tcPr>
          <w:p w14:paraId="390BEB2E" w14:textId="77777777" w:rsidR="00464276" w:rsidRPr="00B961CC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79" w:type="dxa"/>
            <w:vMerge/>
            <w:shd w:val="clear" w:color="auto" w:fill="D9E2F3" w:themeFill="accent5" w:themeFillTint="33"/>
          </w:tcPr>
          <w:p w14:paraId="63268694" w14:textId="01877407" w:rsidR="00464276" w:rsidRPr="00B961CC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412" w:type="dxa"/>
            <w:shd w:val="clear" w:color="auto" w:fill="D9D9D9" w:themeFill="background1" w:themeFillShade="D9"/>
          </w:tcPr>
          <w:p w14:paraId="7ABF00A8" w14:textId="4F5202F6" w:rsidR="00464276" w:rsidRPr="00CE2ABA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ABA">
              <w:rPr>
                <w:rFonts w:ascii="Times New Roman" w:hAnsi="Times New Roman" w:cs="Times New Roman"/>
                <w:b/>
                <w:bCs/>
              </w:rPr>
              <w:t>У розрізі СК</w:t>
            </w:r>
          </w:p>
        </w:tc>
        <w:tc>
          <w:tcPr>
            <w:tcW w:w="1416" w:type="dxa"/>
            <w:shd w:val="clear" w:color="auto" w:fill="D9D9D9" w:themeFill="background1" w:themeFillShade="D9"/>
          </w:tcPr>
          <w:p w14:paraId="0C893029" w14:textId="16A3FB7F" w:rsidR="00464276" w:rsidRPr="00CE2ABA" w:rsidRDefault="00464276" w:rsidP="003B333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E2ABA">
              <w:rPr>
                <w:rFonts w:ascii="Times New Roman" w:hAnsi="Times New Roman" w:cs="Times New Roman"/>
                <w:b/>
                <w:bCs/>
              </w:rPr>
              <w:t>Загальний по ринку</w:t>
            </w:r>
          </w:p>
        </w:tc>
      </w:tr>
      <w:tr w:rsidR="00CE2ABA" w:rsidRPr="003B333F" w14:paraId="34EDE4DA" w14:textId="77777777" w:rsidTr="008D6555">
        <w:trPr>
          <w:trHeight w:val="2222"/>
        </w:trPr>
        <w:tc>
          <w:tcPr>
            <w:tcW w:w="506" w:type="dxa"/>
          </w:tcPr>
          <w:p w14:paraId="2F24D6D4" w14:textId="77777777" w:rsidR="00CE2ABA" w:rsidRPr="00B961CC" w:rsidRDefault="00CE2ABA" w:rsidP="00CE2ABA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33524E52" w14:textId="3FF5ADB4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Кількість укладених договорів, шт.</w:t>
            </w:r>
          </w:p>
        </w:tc>
        <w:tc>
          <w:tcPr>
            <w:tcW w:w="9079" w:type="dxa"/>
          </w:tcPr>
          <w:p w14:paraId="0EBF16A0" w14:textId="69556357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кількість договорів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573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страхування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 w:rsidR="002D3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та які знаходяться в  статусі «Укладений» та «Достроково припинений». </w:t>
            </w:r>
          </w:p>
          <w:p w14:paraId="53D3A9F4" w14:textId="30E56F9C" w:rsidR="00CE2ABA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У кількість укладених договорів не входять договори, що були переоформлені, дублікати.</w:t>
            </w:r>
          </w:p>
          <w:p w14:paraId="5C827465" w14:textId="77777777" w:rsidR="00CE2ABA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укладання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7936851" w14:textId="13B820FC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6D15E508" w14:textId="6BFC6DBA" w:rsidR="00CE2ABA" w:rsidRDefault="00CE2ABA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7C005C9D" w14:textId="2F92ACC0" w:rsidR="00CE2ABA" w:rsidRDefault="00CE2ABA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85439C" w:rsidRPr="003B333F" w14:paraId="20387E75" w14:textId="77777777" w:rsidTr="008D6555">
        <w:trPr>
          <w:trHeight w:val="2222"/>
        </w:trPr>
        <w:tc>
          <w:tcPr>
            <w:tcW w:w="506" w:type="dxa"/>
          </w:tcPr>
          <w:p w14:paraId="257155BD" w14:textId="77777777" w:rsidR="0085439C" w:rsidRPr="00B961CC" w:rsidRDefault="0085439C" w:rsidP="008543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07F305A3" w14:textId="2A7FF18A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Сума нарахованих страхових премій</w:t>
            </w:r>
            <w:r w:rsidR="006014D0">
              <w:rPr>
                <w:rFonts w:ascii="Times New Roman" w:hAnsi="Times New Roman" w:cs="Times New Roman"/>
                <w:sz w:val="24"/>
                <w:szCs w:val="24"/>
              </w:rPr>
              <w:t xml:space="preserve"> за укладеними договорами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грн</w:t>
            </w:r>
          </w:p>
        </w:tc>
        <w:tc>
          <w:tcPr>
            <w:tcW w:w="9079" w:type="dxa"/>
          </w:tcPr>
          <w:p w14:paraId="13B7BD1E" w14:textId="6CD0FBA4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суму нарахованих премії за укладеними договорами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573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страхування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 w:rsidR="002D3A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та які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 знаходяться в  статусі «Укладений» та «Достроково припинений». </w:t>
            </w:r>
            <w:r w:rsidR="007B3AB1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r w:rsidRPr="007E52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укладених договорів не входять договори, що були переоформлені, дублікати</w:t>
            </w:r>
            <w:r w:rsidR="002D3AF6" w:rsidRPr="00B96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4AC8B1" w14:textId="77777777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укладання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2BE6C1" w14:textId="4001F136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5C4037DA" w14:textId="2E036EEE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26AB99D0" w14:textId="54C36F0F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85439C" w:rsidRPr="003B333F" w14:paraId="335E1C74" w14:textId="77777777" w:rsidTr="008D6555">
        <w:trPr>
          <w:trHeight w:val="714"/>
        </w:trPr>
        <w:tc>
          <w:tcPr>
            <w:tcW w:w="506" w:type="dxa"/>
          </w:tcPr>
          <w:p w14:paraId="32580354" w14:textId="77777777" w:rsidR="0085439C" w:rsidRPr="00B961CC" w:rsidRDefault="0085439C" w:rsidP="008543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5848986" w14:textId="2FCFC27A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договорів, що розпочали дію,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9079" w:type="dxa"/>
          </w:tcPr>
          <w:p w14:paraId="3B9D0709" w14:textId="07750219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кількість договорів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3573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страхування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, що завантажені на момент перегляду візуалізації до БД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та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знаходяться в  статусі «Укладений» та «Достроково припинений». У кількість договорів не входять договори, що були переоформлені, дублікати</w:t>
            </w:r>
            <w:r w:rsidR="002D3AF6" w:rsidRPr="00B961C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223C8E7" w14:textId="77777777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вступу в дію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05864B8" w14:textId="782B82F5" w:rsidR="00B6595A" w:rsidRDefault="00B6595A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Договори розподіляються на «електронні» та паперові» за ознакою, що розраховується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за серією договору.</w:t>
            </w:r>
          </w:p>
          <w:p w14:paraId="16AE675F" w14:textId="0EBC7EC8" w:rsidR="0085439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789CDBFA" w14:textId="6E991629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2" w:type="dxa"/>
          </w:tcPr>
          <w:p w14:paraId="34B0013A" w14:textId="3A7E7BBE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5F2BEE34" w14:textId="215DF38E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85439C" w:rsidRPr="003B333F" w14:paraId="1BC597CE" w14:textId="77777777" w:rsidTr="008D6555">
        <w:trPr>
          <w:trHeight w:val="1588"/>
        </w:trPr>
        <w:tc>
          <w:tcPr>
            <w:tcW w:w="506" w:type="dxa"/>
          </w:tcPr>
          <w:p w14:paraId="3C7666A2" w14:textId="77777777" w:rsidR="0085439C" w:rsidRPr="00B961CC" w:rsidRDefault="0085439C" w:rsidP="0085439C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54C1C2F" w14:textId="02B39D53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Питома вага кількості паперових та електронних договорів</w:t>
            </w:r>
            <w:r w:rsidR="00CE2ABA">
              <w:rPr>
                <w:rFonts w:ascii="Times New Roman" w:hAnsi="Times New Roman" w:cs="Times New Roman"/>
                <w:sz w:val="24"/>
                <w:szCs w:val="24"/>
              </w:rPr>
              <w:t>, що розпочали дію</w:t>
            </w:r>
          </w:p>
        </w:tc>
        <w:tc>
          <w:tcPr>
            <w:tcW w:w="9079" w:type="dxa"/>
          </w:tcPr>
          <w:p w14:paraId="49C29516" w14:textId="081AEF6D" w:rsidR="0085439C" w:rsidRPr="0031624B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розраховується шляхом визначення 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>відсотка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 кількості «електронних»/«паперових»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договорів, що розпочали дію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31624B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кількості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договорів, що розпочали дію</w:t>
            </w:r>
            <w:r w:rsidR="00B6595A">
              <w:rPr>
                <w:rFonts w:ascii="Times New Roman" w:hAnsi="Times New Roman" w:cs="Times New Roman"/>
                <w:sz w:val="24"/>
                <w:szCs w:val="24"/>
              </w:rPr>
              <w:t xml:space="preserve"> за обраний період</w:t>
            </w:r>
            <w:r w:rsidR="007164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73E20DEA" w14:textId="121F4D41" w:rsidR="0085439C" w:rsidRPr="00B961CC" w:rsidRDefault="0085439C" w:rsidP="008543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423CB7DA" w14:textId="725FBCAC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2E660B20" w14:textId="5DD5FBE8" w:rsidR="0085439C" w:rsidRDefault="0085439C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5275A21B" w14:textId="77777777" w:rsidTr="008D6555">
        <w:trPr>
          <w:trHeight w:val="640"/>
        </w:trPr>
        <w:tc>
          <w:tcPr>
            <w:tcW w:w="506" w:type="dxa"/>
          </w:tcPr>
          <w:p w14:paraId="07B8D064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8188F5A" w14:textId="442AA28D" w:rsidR="002A6F4A" w:rsidRDefault="002A6F4A" w:rsidP="002A6F4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Сума нарахованих страхових премій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договорами, що розпочали дію, зменшена на суму повернень за достроково припиненими договорами, грн.</w:t>
            </w:r>
          </w:p>
          <w:p w14:paraId="581F4FB0" w14:textId="47AF3888" w:rsidR="006014D0" w:rsidRPr="003025C1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9" w:type="dxa"/>
          </w:tcPr>
          <w:p w14:paraId="66EC9570" w14:textId="28D760D0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суму нарахованих премії за договорами </w:t>
            </w:r>
            <w:r w:rsidR="009F3573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 w:rsidR="007C67BB">
              <w:rPr>
                <w:rFonts w:ascii="Times New Roman" w:hAnsi="Times New Roman" w:cs="Times New Roman"/>
                <w:sz w:val="24"/>
                <w:szCs w:val="24"/>
              </w:rPr>
              <w:t xml:space="preserve"> страхування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що розпочали свою дію,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 виключенням повернутих страхових премій за цей період.</w:t>
            </w:r>
          </w:p>
          <w:p w14:paraId="1D2DC854" w14:textId="5D6A0D13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за сумою нарахованих премій здійснюється по даті вступу в дію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 Від суми нарахованих страхових премій за договорами, що розпочали дію, віднімається сума повернутих страхових премій за договорами</w:t>
            </w:r>
            <w:r w:rsidR="00D43DCF">
              <w:rPr>
                <w:rFonts w:ascii="Times New Roman" w:hAnsi="Times New Roman" w:cs="Times New Roman"/>
                <w:sz w:val="24"/>
                <w:szCs w:val="24"/>
              </w:rPr>
              <w:t>, що достроково припинені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Вибір даних за сумою повернутих премій здійснюється по даті </w:t>
            </w:r>
            <w:r w:rsidR="00D43DCF">
              <w:rPr>
                <w:rFonts w:ascii="Times New Roman" w:hAnsi="Times New Roman" w:cs="Times New Roman"/>
                <w:sz w:val="24"/>
                <w:szCs w:val="24"/>
              </w:rPr>
              <w:t>дострокового припин</w:t>
            </w:r>
            <w:r w:rsidR="00F425E2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D43DCF">
              <w:rPr>
                <w:rFonts w:ascii="Times New Roman" w:hAnsi="Times New Roman" w:cs="Times New Roman"/>
                <w:sz w:val="24"/>
                <w:szCs w:val="24"/>
              </w:rPr>
              <w:t>ня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договорів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06AF272" w14:textId="2A500D03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Суми</w:t>
            </w:r>
            <w:r w:rsidR="007C67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нарахованих страхових премій розподіляються на страхові премії за «електронними» та «паперовими» договорами. </w:t>
            </w:r>
          </w:p>
          <w:p w14:paraId="21E3AE2C" w14:textId="77777777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  <w:p w14:paraId="4440F817" w14:textId="236E0425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на момент перегляду візуалізації завантажені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</w:t>
            </w:r>
            <w:r w:rsidR="00F425E2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ордів</w:t>
            </w:r>
            <w:r w:rsidR="00F425E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12" w:type="dxa"/>
          </w:tcPr>
          <w:p w14:paraId="0B7A6C71" w14:textId="7EC9349C" w:rsidR="006014D0" w:rsidRDefault="00F425E2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729ED59B" w14:textId="5A09D449" w:rsidR="006014D0" w:rsidRDefault="00F425E2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1B5483E1" w14:textId="77777777" w:rsidTr="007C67BB">
        <w:trPr>
          <w:trHeight w:val="640"/>
        </w:trPr>
        <w:tc>
          <w:tcPr>
            <w:tcW w:w="506" w:type="dxa"/>
          </w:tcPr>
          <w:p w14:paraId="5C0E3C29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2926E782" w14:textId="0F214105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Питома вага суми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страхових</w:t>
            </w: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 премій за паперовими та електронними договорами</w:t>
            </w:r>
            <w:r w:rsidR="00D84BA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2A6F4A">
              <w:rPr>
                <w:rFonts w:ascii="Times New Roman" w:hAnsi="Times New Roman" w:cs="Times New Roman"/>
                <w:sz w:val="24"/>
                <w:szCs w:val="24"/>
              </w:rPr>
              <w:t xml:space="preserve">що розпочали дію, зменшена на суму повернень за достроково </w:t>
            </w:r>
            <w:r w:rsidR="002A6F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припиненими договорами, </w:t>
            </w:r>
            <w:r w:rsidR="00D84BA8">
              <w:rPr>
                <w:rFonts w:ascii="Times New Roman" w:hAnsi="Times New Roman" w:cs="Times New Roman"/>
                <w:sz w:val="24"/>
                <w:szCs w:val="24"/>
              </w:rPr>
              <w:t>%.</w:t>
            </w:r>
          </w:p>
        </w:tc>
        <w:tc>
          <w:tcPr>
            <w:tcW w:w="9079" w:type="dxa"/>
          </w:tcPr>
          <w:p w14:paraId="346CE0D7" w14:textId="2BD14DD2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C39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Показник розраховується шляхом визначення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відсотка</w:t>
            </w:r>
            <w:r w:rsidRPr="00CC3961">
              <w:rPr>
                <w:rFonts w:ascii="Times New Roman" w:hAnsi="Times New Roman" w:cs="Times New Roman"/>
                <w:sz w:val="24"/>
                <w:szCs w:val="24"/>
              </w:rPr>
              <w:t xml:space="preserve"> нарахованих премій за  «електронним»/«паперовими»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договорами, що розпочали дію</w:t>
            </w:r>
            <w:r w:rsidRPr="00CC396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Pr="00CC3961"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суми нарахованих премій за всіма договорами, що розпочали свою дію.</w:t>
            </w:r>
          </w:p>
          <w:p w14:paraId="548C2E4F" w14:textId="532942A8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20D95C80" w14:textId="4D17B767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4DBE5F22" w14:textId="21E3BB1E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20A2684E" w14:textId="77777777" w:rsidTr="008D6555">
        <w:trPr>
          <w:trHeight w:val="2222"/>
        </w:trPr>
        <w:tc>
          <w:tcPr>
            <w:tcW w:w="506" w:type="dxa"/>
          </w:tcPr>
          <w:p w14:paraId="14541121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7821CFEA" w14:textId="74508704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Кількість сплачених вимог, шт.</w:t>
            </w:r>
          </w:p>
        </w:tc>
        <w:tc>
          <w:tcPr>
            <w:tcW w:w="9079" w:type="dxa"/>
          </w:tcPr>
          <w:p w14:paraId="505890B7" w14:textId="6FFC90AC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Показник відображає кількість сплачених вимог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договорами </w:t>
            </w:r>
            <w:r w:rsidR="009F3573">
              <w:rPr>
                <w:rFonts w:ascii="Times New Roman" w:hAnsi="Times New Roman" w:cs="Times New Roman"/>
                <w:sz w:val="24"/>
                <w:szCs w:val="24"/>
              </w:rPr>
              <w:t>міжнародного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страхування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до БД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D84BA8">
              <w:rPr>
                <w:rFonts w:ascii="Times New Roman" w:hAnsi="Times New Roman" w:cs="Times New Roman"/>
                <w:sz w:val="24"/>
                <w:szCs w:val="24"/>
              </w:rPr>
              <w:t xml:space="preserve">До показника включаються вимоги, які повністю сплачено страховиком. </w:t>
            </w:r>
          </w:p>
          <w:p w14:paraId="6B70FEFE" w14:textId="5B454521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останньої виплати за вимогою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432354D" w14:textId="20FA082F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55339706" w14:textId="1BAAE1EC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3735A908" w14:textId="05A9D2A3" w:rsidR="006014D0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6014D0" w:rsidRPr="003B333F" w14:paraId="750E953B" w14:textId="7B1AFF03" w:rsidTr="008D6555">
        <w:tc>
          <w:tcPr>
            <w:tcW w:w="506" w:type="dxa"/>
          </w:tcPr>
          <w:p w14:paraId="6B52019B" w14:textId="77777777" w:rsidR="006014D0" w:rsidRPr="00B961CC" w:rsidRDefault="006014D0" w:rsidP="006014D0">
            <w:pPr>
              <w:pStyle w:val="a4"/>
              <w:numPr>
                <w:ilvl w:val="0"/>
                <w:numId w:val="1"/>
              </w:numPr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</w:tcPr>
          <w:p w14:paraId="44147E69" w14:textId="1E0740CE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Сума сплачена за вимогами, </w:t>
            </w:r>
            <w:r w:rsidR="009F3573">
              <w:rPr>
                <w:rFonts w:ascii="Times New Roman" w:hAnsi="Times New Roman" w:cs="Times New Roman"/>
                <w:sz w:val="24"/>
                <w:szCs w:val="24"/>
              </w:rPr>
              <w:t>євро</w:t>
            </w:r>
          </w:p>
        </w:tc>
        <w:tc>
          <w:tcPr>
            <w:tcW w:w="9079" w:type="dxa"/>
          </w:tcPr>
          <w:p w14:paraId="0D544717" w14:textId="7F49DF99" w:rsidR="00A46F40" w:rsidRDefault="006014D0" w:rsidP="00A46F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суму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сплаченого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страхового відшкодування за вимогами, що завантажені на момент перегляду візуалізації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до БД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46F40">
              <w:rPr>
                <w:rFonts w:ascii="Times New Roman" w:hAnsi="Times New Roman" w:cs="Times New Roman"/>
                <w:sz w:val="24"/>
                <w:szCs w:val="24"/>
              </w:rPr>
              <w:t xml:space="preserve">До показника включаються вимоги, які повністю сплачено страховиком. </w:t>
            </w:r>
          </w:p>
          <w:p w14:paraId="2BF845B5" w14:textId="269FD1F5" w:rsidR="006014D0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Вибір даних здійснюється по даті виплати (рік/місяць), які входять в обраний період, за який відображаються данні 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дашборді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973A85B" w14:textId="3D72AE55" w:rsidR="006014D0" w:rsidRPr="00B961CC" w:rsidRDefault="006014D0" w:rsidP="006014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загальному показнику за всіма СК враховуються показники тільки за тими СК, що в обраний період були членами МТСБУ.</w:t>
            </w:r>
          </w:p>
        </w:tc>
        <w:tc>
          <w:tcPr>
            <w:tcW w:w="1412" w:type="dxa"/>
          </w:tcPr>
          <w:p w14:paraId="55B61F82" w14:textId="6B80814F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  <w:tc>
          <w:tcPr>
            <w:tcW w:w="1416" w:type="dxa"/>
          </w:tcPr>
          <w:p w14:paraId="46E39D29" w14:textId="3BED9136" w:rsidR="006014D0" w:rsidRPr="00B961CC" w:rsidRDefault="006014D0" w:rsidP="006014D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14:paraId="45EF1B21" w14:textId="77777777" w:rsidR="008119EE" w:rsidRDefault="008119EE"/>
    <w:p w14:paraId="6D338B84" w14:textId="20B03219" w:rsidR="00CE2ABA" w:rsidRDefault="009F3573" w:rsidP="00CE2ABA">
      <w:pPr>
        <w:pStyle w:val="1"/>
        <w:numPr>
          <w:ilvl w:val="0"/>
          <w:numId w:val="5"/>
        </w:numPr>
      </w:pPr>
      <w:r>
        <w:t>Регламентні</w:t>
      </w:r>
      <w:r w:rsidR="00CE2ABA" w:rsidRPr="00CE2ABA">
        <w:t xml:space="preserve"> виплат</w:t>
      </w:r>
      <w:r>
        <w:t>и</w:t>
      </w:r>
      <w:r w:rsidR="00CE2ABA" w:rsidRPr="00CE2ABA">
        <w:t>, що здійснює МТСБУ</w:t>
      </w:r>
      <w:r>
        <w:t xml:space="preserve"> за рахунок коштів ФГС</w:t>
      </w:r>
      <w:r w:rsidR="00CE2ABA" w:rsidRPr="00CE2ABA">
        <w:t xml:space="preserve"> за договорами </w:t>
      </w:r>
      <w:proofErr w:type="spellStart"/>
      <w:r>
        <w:t>міднародного</w:t>
      </w:r>
      <w:proofErr w:type="spellEnd"/>
      <w:r w:rsidR="00CE2ABA" w:rsidRPr="00CE2ABA">
        <w:t xml:space="preserve"> страхування</w:t>
      </w:r>
    </w:p>
    <w:tbl>
      <w:tblPr>
        <w:tblStyle w:val="af"/>
        <w:tblW w:w="15275" w:type="dxa"/>
        <w:tblInd w:w="-147" w:type="dxa"/>
        <w:tblLook w:val="04A0" w:firstRow="1" w:lastRow="0" w:firstColumn="1" w:lastColumn="0" w:noHBand="0" w:noVBand="1"/>
      </w:tblPr>
      <w:tblGrid>
        <w:gridCol w:w="506"/>
        <w:gridCol w:w="2471"/>
        <w:gridCol w:w="9639"/>
        <w:gridCol w:w="1384"/>
        <w:gridCol w:w="1275"/>
      </w:tblGrid>
      <w:tr w:rsidR="00CE2ABA" w:rsidRPr="003B333F" w14:paraId="1EEA1889" w14:textId="3658CDF8" w:rsidTr="008D6555">
        <w:trPr>
          <w:tblHeader/>
        </w:trPr>
        <w:tc>
          <w:tcPr>
            <w:tcW w:w="506" w:type="dxa"/>
            <w:vMerge w:val="restart"/>
            <w:shd w:val="clear" w:color="auto" w:fill="D9D9D9" w:themeFill="background1" w:themeFillShade="D9"/>
          </w:tcPr>
          <w:p w14:paraId="5AF47B90" w14:textId="77777777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№ з/п</w:t>
            </w:r>
          </w:p>
        </w:tc>
        <w:tc>
          <w:tcPr>
            <w:tcW w:w="2471" w:type="dxa"/>
            <w:vMerge w:val="restart"/>
            <w:shd w:val="clear" w:color="auto" w:fill="D9D9D9" w:themeFill="background1" w:themeFillShade="D9"/>
          </w:tcPr>
          <w:p w14:paraId="70352CE2" w14:textId="77777777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ПОКАЗНИК</w:t>
            </w:r>
          </w:p>
        </w:tc>
        <w:tc>
          <w:tcPr>
            <w:tcW w:w="9639" w:type="dxa"/>
            <w:vMerge w:val="restart"/>
            <w:shd w:val="clear" w:color="auto" w:fill="D9D9D9" w:themeFill="background1" w:themeFillShade="D9"/>
          </w:tcPr>
          <w:p w14:paraId="4307D7AE" w14:textId="77777777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ОПИС</w:t>
            </w:r>
          </w:p>
        </w:tc>
        <w:tc>
          <w:tcPr>
            <w:tcW w:w="2659" w:type="dxa"/>
            <w:gridSpan w:val="2"/>
            <w:shd w:val="clear" w:color="auto" w:fill="D9D9D9" w:themeFill="background1" w:themeFillShade="D9"/>
          </w:tcPr>
          <w:p w14:paraId="163EB5BE" w14:textId="19DFBE68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Відображення на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дашборді</w:t>
            </w:r>
            <w:proofErr w:type="spellEnd"/>
          </w:p>
        </w:tc>
      </w:tr>
      <w:tr w:rsidR="00CE2ABA" w:rsidRPr="003B333F" w14:paraId="07FD76D0" w14:textId="77777777" w:rsidTr="008D6555">
        <w:trPr>
          <w:tblHeader/>
        </w:trPr>
        <w:tc>
          <w:tcPr>
            <w:tcW w:w="506" w:type="dxa"/>
            <w:vMerge/>
            <w:shd w:val="clear" w:color="auto" w:fill="D9D9D9" w:themeFill="background1" w:themeFillShade="D9"/>
          </w:tcPr>
          <w:p w14:paraId="24312FAC" w14:textId="77777777" w:rsidR="00CE2ABA" w:rsidRPr="00B961CC" w:rsidRDefault="00CE2ABA" w:rsidP="00CE2AB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71" w:type="dxa"/>
            <w:vMerge/>
            <w:shd w:val="clear" w:color="auto" w:fill="D9D9D9" w:themeFill="background1" w:themeFillShade="D9"/>
          </w:tcPr>
          <w:p w14:paraId="0DFE955B" w14:textId="77777777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639" w:type="dxa"/>
            <w:vMerge/>
            <w:shd w:val="clear" w:color="auto" w:fill="D9D9D9" w:themeFill="background1" w:themeFillShade="D9"/>
          </w:tcPr>
          <w:p w14:paraId="7AB47C8D" w14:textId="77777777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D9D9D9" w:themeFill="background1" w:themeFillShade="D9"/>
          </w:tcPr>
          <w:p w14:paraId="791B2BC6" w14:textId="18659A70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ABA">
              <w:rPr>
                <w:rFonts w:ascii="Times New Roman" w:hAnsi="Times New Roman" w:cs="Times New Roman"/>
                <w:b/>
                <w:bCs/>
              </w:rPr>
              <w:t>У розрізі СК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14:paraId="226B4331" w14:textId="6536181A" w:rsidR="00CE2ABA" w:rsidRPr="00B961CC" w:rsidRDefault="00CE2ABA" w:rsidP="00CE2A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2ABA">
              <w:rPr>
                <w:rFonts w:ascii="Times New Roman" w:hAnsi="Times New Roman" w:cs="Times New Roman"/>
                <w:b/>
                <w:bCs/>
              </w:rPr>
              <w:t>Загальний по ринку</w:t>
            </w:r>
          </w:p>
        </w:tc>
      </w:tr>
      <w:tr w:rsidR="00CE2ABA" w:rsidRPr="003B333F" w14:paraId="59A07F37" w14:textId="1A5CB048" w:rsidTr="008D655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6438D" w14:textId="7F4D4705" w:rsidR="00CE2ABA" w:rsidRPr="00B961CC" w:rsidRDefault="00CE2ABA" w:rsidP="003B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3F2F" w14:textId="3883E61B" w:rsidR="00CE2ABA" w:rsidRPr="003025C1" w:rsidRDefault="00CE2ABA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Кількість виплат, що здійснює МТСБУ </w:t>
            </w:r>
          </w:p>
          <w:p w14:paraId="3F14E509" w14:textId="14BFC36C" w:rsidR="00CE2ABA" w:rsidRPr="00B961CC" w:rsidRDefault="00CE2ABA" w:rsidP="003B333F">
            <w:pPr>
              <w:ind w:firstLine="17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D7D946" w14:textId="6037A1B6" w:rsidR="0096473E" w:rsidRDefault="00CE2ABA" w:rsidP="003B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кількість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виплат</w:t>
            </w:r>
            <w:r w:rsidR="007C67B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73E" w:rsidRPr="003025C1">
              <w:rPr>
                <w:rFonts w:ascii="Times New Roman" w:hAnsi="Times New Roman" w:cs="Times New Roman"/>
                <w:sz w:val="24"/>
                <w:szCs w:val="24"/>
              </w:rPr>
              <w:t xml:space="preserve"> що здійснює МТСБУ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, та які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>на момент перегляду візуалізації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були </w:t>
            </w:r>
            <w:r w:rsidR="00CB7B9B" w:rsidRPr="00B961CC">
              <w:rPr>
                <w:rFonts w:ascii="Times New Roman" w:hAnsi="Times New Roman" w:cs="Times New Roman"/>
                <w:sz w:val="24"/>
                <w:szCs w:val="24"/>
              </w:rPr>
              <w:t>завантажені до БД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B7B9B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B7B9B" w:rsidRPr="003B333F">
              <w:rPr>
                <w:rFonts w:ascii="Times New Roman" w:hAnsi="Times New Roman" w:cs="Times New Roman"/>
                <w:sz w:val="24"/>
                <w:szCs w:val="24"/>
              </w:rPr>
              <w:t xml:space="preserve">з якої беруться дані для </w:t>
            </w:r>
            <w:proofErr w:type="spellStart"/>
            <w:r w:rsidR="00CB7B9B" w:rsidRPr="003B333F">
              <w:rPr>
                <w:rFonts w:ascii="Times New Roman" w:hAnsi="Times New Roman" w:cs="Times New Roman"/>
                <w:sz w:val="24"/>
                <w:szCs w:val="24"/>
              </w:rPr>
              <w:t>дашбордів</w:t>
            </w:r>
            <w:proofErr w:type="spellEnd"/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49CFD841" w14:textId="66F8DF34" w:rsidR="0096473E" w:rsidRDefault="0096473E" w:rsidP="003B333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Враховуються виплати за категоріями:</w:t>
            </w:r>
          </w:p>
          <w:p w14:paraId="6A218A0D" w14:textId="77777777" w:rsidR="00973BD4" w:rsidRDefault="00973BD4" w:rsidP="00973BD4">
            <w:pPr>
              <w:pStyle w:val="af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 вини іноземця </w:t>
            </w:r>
          </w:p>
          <w:p w14:paraId="23BA03FE" w14:textId="77777777" w:rsidR="00973BD4" w:rsidRDefault="00973BD4" w:rsidP="00973BD4">
            <w:pPr>
              <w:pStyle w:val="af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 СК банкрут </w:t>
            </w:r>
          </w:p>
          <w:p w14:paraId="3237F700" w14:textId="77777777" w:rsidR="00973BD4" w:rsidRDefault="00973BD4" w:rsidP="00973BD4">
            <w:pPr>
              <w:pStyle w:val="af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Гарантійні вимагання. </w:t>
            </w:r>
          </w:p>
          <w:p w14:paraId="280B78AB" w14:textId="77777777" w:rsidR="00973BD4" w:rsidRDefault="00973BD4" w:rsidP="00973BD4">
            <w:pPr>
              <w:pStyle w:val="af7"/>
              <w:numPr>
                <w:ilvl w:val="0"/>
                <w:numId w:val="10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 фальшиві ЗК </w:t>
            </w:r>
          </w:p>
          <w:p w14:paraId="0B4AF99C" w14:textId="77777777" w:rsidR="0096473E" w:rsidRDefault="0096473E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FA35FD7" w14:textId="743BBF49" w:rsidR="004073AB" w:rsidRPr="0096473E" w:rsidRDefault="0096473E" w:rsidP="00190C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Відбір даних 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датою виплати, яка повинна потрапляти у період, за який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візуалізуються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дані.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36876" w14:textId="52296E05" w:rsidR="00CE2ABA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B5A72" w14:textId="1725AA3A" w:rsidR="00CE2ABA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B7B9B" w:rsidRPr="003B333F" w14:paraId="7601F10C" w14:textId="77777777" w:rsidTr="008D655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8CA647" w14:textId="71F432F4" w:rsidR="00CB7B9B" w:rsidRDefault="00CB7B9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D3BF45" w14:textId="052ABF95" w:rsidR="00CB7B9B" w:rsidRPr="003025C1" w:rsidRDefault="006826C1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Питома вага</w:t>
            </w:r>
            <w:r w:rsidR="00CB7B9B">
              <w:rPr>
                <w:rFonts w:ascii="Times New Roman" w:hAnsi="Times New Roman" w:cs="Times New Roman"/>
                <w:sz w:val="24"/>
                <w:szCs w:val="24"/>
              </w:rPr>
              <w:t xml:space="preserve"> кількості виплат за окремою категорією від загальної кількості виплат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00AEE" w14:textId="3326512D" w:rsidR="00CB7B9B" w:rsidRDefault="0096473E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Розраховується</w:t>
            </w:r>
            <w:r w:rsidR="00190CE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 </w:t>
            </w:r>
            <w:r w:rsidR="006826C1">
              <w:rPr>
                <w:rFonts w:ascii="Times New Roman" w:hAnsi="Times New Roman" w:cs="Times New Roman"/>
                <w:sz w:val="24"/>
                <w:szCs w:val="24"/>
              </w:rPr>
              <w:t>відсоток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кількості виплат за окремою категорією </w:t>
            </w:r>
            <w:r w:rsidR="006826C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кількості виплат, що здійснюється МТСБУ.</w:t>
            </w:r>
          </w:p>
          <w:p w14:paraId="2C9D8D1A" w14:textId="5E60B289" w:rsidR="006826C1" w:rsidRDefault="006826C1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Розраховується питома вага кількості виплат за категоріями:</w:t>
            </w:r>
          </w:p>
          <w:p w14:paraId="09969B16" w14:textId="77777777" w:rsidR="00973BD4" w:rsidRDefault="00973BD4" w:rsidP="00973BD4">
            <w:pPr>
              <w:pStyle w:val="af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 вини іноземця </w:t>
            </w:r>
          </w:p>
          <w:p w14:paraId="71C849D2" w14:textId="77777777" w:rsidR="00973BD4" w:rsidRDefault="00973BD4" w:rsidP="00973BD4">
            <w:pPr>
              <w:pStyle w:val="af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 СК банкрут </w:t>
            </w:r>
          </w:p>
          <w:p w14:paraId="2BC4EB49" w14:textId="77777777" w:rsidR="00973BD4" w:rsidRDefault="00973BD4" w:rsidP="00973BD4">
            <w:pPr>
              <w:pStyle w:val="af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Гарантійні вимагання. </w:t>
            </w:r>
          </w:p>
          <w:p w14:paraId="3C831BDF" w14:textId="77777777" w:rsidR="00973BD4" w:rsidRDefault="00973BD4" w:rsidP="00973BD4">
            <w:pPr>
              <w:pStyle w:val="af7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 фальшиві ЗК </w:t>
            </w:r>
          </w:p>
          <w:p w14:paraId="03A975F0" w14:textId="77777777" w:rsidR="006826C1" w:rsidRDefault="006826C1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621DCBE" w14:textId="77777777" w:rsidR="0096473E" w:rsidRDefault="0096473E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Відбір даних 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датою виплати, яка повинна потрапляти у період, за який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візуалізуються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данні.</w:t>
            </w:r>
          </w:p>
          <w:p w14:paraId="385D9A80" w14:textId="1C1E4A7B" w:rsidR="004073AB" w:rsidRPr="00B961CC" w:rsidRDefault="004073A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 xml:space="preserve">з якої беруться дані для </w:t>
            </w:r>
            <w:proofErr w:type="spellStart"/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дашбордів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CF192" w14:textId="5D626ADB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C5C68" w14:textId="23AA3737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B7B9B" w:rsidRPr="003B333F" w14:paraId="23F3DD47" w14:textId="1D39B0B1" w:rsidTr="008D655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3D3F16" w14:textId="672E0279" w:rsidR="00CB7B9B" w:rsidRPr="00B961CC" w:rsidRDefault="00CB7B9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A3497" w14:textId="2AD37441" w:rsidR="0096473E" w:rsidRPr="00B961CC" w:rsidRDefault="00CB7B9B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5C1">
              <w:rPr>
                <w:rFonts w:ascii="Times New Roman" w:hAnsi="Times New Roman" w:cs="Times New Roman"/>
                <w:sz w:val="24"/>
                <w:szCs w:val="24"/>
              </w:rPr>
              <w:t>Сума виплат, що здійснює МТСБУ</w:t>
            </w:r>
          </w:p>
          <w:p w14:paraId="7BF206EC" w14:textId="145C8FC1" w:rsidR="00CB7B9B" w:rsidRPr="00B961CC" w:rsidRDefault="00CB7B9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08416" w14:textId="22F9F2EB" w:rsidR="0096473E" w:rsidRDefault="00CB7B9B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суму 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виплат</w:t>
            </w:r>
            <w:r w:rsidR="00973BD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96473E" w:rsidRPr="003025C1">
              <w:rPr>
                <w:rFonts w:ascii="Times New Roman" w:hAnsi="Times New Roman" w:cs="Times New Roman"/>
                <w:sz w:val="24"/>
                <w:szCs w:val="24"/>
              </w:rPr>
              <w:t>що здійснює МТСБУ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, та які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на момент перегляду візуалізації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 xml:space="preserve"> були 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>завантажені до БД</w:t>
            </w:r>
            <w:r w:rsidR="0096473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473E"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 w:rsidR="0096473E"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14:paraId="7C27F5B6" w14:textId="77777777" w:rsidR="0096473E" w:rsidRDefault="0096473E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Враховуються виплати за категоріями:</w:t>
            </w:r>
          </w:p>
          <w:p w14:paraId="4A39AD9A" w14:textId="77777777" w:rsidR="00973BD4" w:rsidRDefault="00973BD4" w:rsidP="00973BD4">
            <w:pPr>
              <w:pStyle w:val="af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 вини іноземця </w:t>
            </w:r>
          </w:p>
          <w:p w14:paraId="21C5B75A" w14:textId="77777777" w:rsidR="00973BD4" w:rsidRDefault="00973BD4" w:rsidP="00973BD4">
            <w:pPr>
              <w:pStyle w:val="af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 СК банкрут </w:t>
            </w:r>
          </w:p>
          <w:p w14:paraId="3917B955" w14:textId="77777777" w:rsidR="00973BD4" w:rsidRDefault="00973BD4" w:rsidP="00973BD4">
            <w:pPr>
              <w:pStyle w:val="af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Гарантійні вимагання. </w:t>
            </w:r>
          </w:p>
          <w:p w14:paraId="5E2DD036" w14:textId="77777777" w:rsidR="00973BD4" w:rsidRDefault="00973BD4" w:rsidP="00973BD4">
            <w:pPr>
              <w:pStyle w:val="af7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 фальшиві ЗК </w:t>
            </w:r>
          </w:p>
          <w:p w14:paraId="0F009229" w14:textId="72F42935" w:rsidR="004073AB" w:rsidRPr="00B961CC" w:rsidRDefault="0096473E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Відбір даних 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датою виплати, яка повинна потрапляти у період, за який візуалізуються дані.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C31A5" w14:textId="45F0AB71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95B63" w14:textId="3CEDDDB3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  <w:tr w:rsidR="00CB7B9B" w:rsidRPr="003B333F" w14:paraId="5507E384" w14:textId="77777777" w:rsidTr="008D6555"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8DFA2" w14:textId="54BBC293" w:rsidR="00CB7B9B" w:rsidRDefault="00CB7B9B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683EF7" w14:textId="4320A813" w:rsidR="00CB7B9B" w:rsidRPr="003025C1" w:rsidRDefault="006826C1" w:rsidP="00CB7B9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Питома вага</w:t>
            </w:r>
            <w:r w:rsidR="00CB7B9B">
              <w:rPr>
                <w:rFonts w:ascii="Times New Roman" w:hAnsi="Times New Roman" w:cs="Times New Roman"/>
                <w:sz w:val="24"/>
                <w:szCs w:val="24"/>
              </w:rPr>
              <w:t xml:space="preserve"> суми виплат за окремою категорією від загальної кількості виплат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94C28" w14:textId="26FB8579" w:rsidR="0096473E" w:rsidRDefault="0096473E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Розраховується як </w:t>
            </w:r>
            <w:r w:rsidR="006826C1">
              <w:rPr>
                <w:rFonts w:ascii="Times New Roman" w:hAnsi="Times New Roman" w:cs="Times New Roman"/>
                <w:sz w:val="24"/>
                <w:szCs w:val="24"/>
              </w:rPr>
              <w:t>відсоток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суми виплат за окремою категорією </w:t>
            </w:r>
            <w:r w:rsidR="006826C1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загальної кількості виплат, що здійснюється МТСБУ.</w:t>
            </w:r>
          </w:p>
          <w:p w14:paraId="7D1DE48B" w14:textId="20DF60D7" w:rsidR="006826C1" w:rsidRDefault="006826C1" w:rsidP="006826C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Розраховується питома вага суми виплат за категоріями:</w:t>
            </w:r>
          </w:p>
          <w:p w14:paraId="36FF7A52" w14:textId="77777777" w:rsidR="00973BD4" w:rsidRDefault="00973BD4" w:rsidP="00973BD4">
            <w:pPr>
              <w:pStyle w:val="af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 вини іноземця </w:t>
            </w:r>
          </w:p>
          <w:p w14:paraId="020477CE" w14:textId="77777777" w:rsidR="00973BD4" w:rsidRDefault="00973BD4" w:rsidP="00973BD4">
            <w:pPr>
              <w:pStyle w:val="af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 СК банкрут </w:t>
            </w:r>
          </w:p>
          <w:p w14:paraId="0074CF6A" w14:textId="77777777" w:rsidR="00973BD4" w:rsidRDefault="00973BD4" w:rsidP="00973BD4">
            <w:pPr>
              <w:pStyle w:val="af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Гарантійні вимагання. </w:t>
            </w:r>
          </w:p>
          <w:p w14:paraId="1C45C41E" w14:textId="77777777" w:rsidR="00973BD4" w:rsidRDefault="00973BD4" w:rsidP="00973BD4">
            <w:pPr>
              <w:pStyle w:val="af7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color w:val="000000"/>
              </w:rPr>
              <w:t>За фальшиві ЗК </w:t>
            </w:r>
          </w:p>
          <w:p w14:paraId="48A6F61A" w14:textId="77777777" w:rsidR="00CB7B9B" w:rsidRDefault="0096473E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Відбір даних здійснюється 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датою виплати, яка повинна потрапляти у період, за який візуалізуються данні.</w:t>
            </w:r>
          </w:p>
          <w:p w14:paraId="28445FE6" w14:textId="483C13C5" w:rsidR="004073AB" w:rsidRPr="00B961CC" w:rsidRDefault="004073AB" w:rsidP="0096473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Показник відображає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данні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>, що завантажені на момент перегляду візуалізації до БД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961C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B333F">
              <w:rPr>
                <w:rFonts w:ascii="Times New Roman" w:hAnsi="Times New Roman" w:cs="Times New Roman"/>
                <w:sz w:val="24"/>
                <w:szCs w:val="24"/>
              </w:rPr>
              <w:t>з якої беруться дані для дашбордів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FD00C" w14:textId="31E8B860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Ні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D3FDC" w14:textId="47F61B75" w:rsidR="00CB7B9B" w:rsidRPr="00B961CC" w:rsidRDefault="00CB7B9B" w:rsidP="002D3A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</w:p>
        </w:tc>
      </w:tr>
    </w:tbl>
    <w:p w14:paraId="6BFCC3E8" w14:textId="77777777" w:rsidR="008119EE" w:rsidRDefault="008119EE"/>
    <w:p w14:paraId="4B5F2456" w14:textId="390C95E6" w:rsidR="00CB7B9B" w:rsidRPr="00CB7B9B" w:rsidRDefault="00CB7B9B">
      <w:pPr>
        <w:rPr>
          <w:rFonts w:ascii="Times New Roman" w:hAnsi="Times New Roman" w:cs="Times New Roman"/>
        </w:rPr>
      </w:pPr>
      <w:r w:rsidRPr="00CB7B9B">
        <w:rPr>
          <w:rFonts w:ascii="Times New Roman" w:hAnsi="Times New Roman" w:cs="Times New Roman"/>
        </w:rPr>
        <w:t xml:space="preserve">Дані для відображення </w:t>
      </w:r>
      <w:r>
        <w:rPr>
          <w:rFonts w:ascii="Times New Roman" w:hAnsi="Times New Roman" w:cs="Times New Roman"/>
        </w:rPr>
        <w:t xml:space="preserve">на </w:t>
      </w:r>
      <w:proofErr w:type="spellStart"/>
      <w:r w:rsidRPr="00CB7B9B">
        <w:rPr>
          <w:rFonts w:ascii="Times New Roman" w:hAnsi="Times New Roman" w:cs="Times New Roman"/>
        </w:rPr>
        <w:t>дашборд</w:t>
      </w:r>
      <w:r>
        <w:rPr>
          <w:rFonts w:ascii="Times New Roman" w:hAnsi="Times New Roman" w:cs="Times New Roman"/>
        </w:rPr>
        <w:t>ах</w:t>
      </w:r>
      <w:proofErr w:type="spellEnd"/>
      <w:r w:rsidRPr="00CB7B9B">
        <w:rPr>
          <w:rFonts w:ascii="Times New Roman" w:hAnsi="Times New Roman" w:cs="Times New Roman"/>
        </w:rPr>
        <w:t xml:space="preserve"> беруться з окремої БД, до якої вони завантажуються з ЦБД. Оновлення даних відбувається раз на тиждень. Дата, на яку оновлені дані</w:t>
      </w:r>
      <w:r w:rsidR="006113B9">
        <w:rPr>
          <w:rFonts w:ascii="Times New Roman" w:hAnsi="Times New Roman" w:cs="Times New Roman"/>
        </w:rPr>
        <w:t>,</w:t>
      </w:r>
      <w:r w:rsidRPr="00CB7B9B">
        <w:rPr>
          <w:rFonts w:ascii="Times New Roman" w:hAnsi="Times New Roman" w:cs="Times New Roman"/>
        </w:rPr>
        <w:t xml:space="preserve"> повинна відображатися у підп</w:t>
      </w:r>
      <w:r w:rsidR="006113B9">
        <w:rPr>
          <w:rFonts w:ascii="Times New Roman" w:hAnsi="Times New Roman" w:cs="Times New Roman"/>
        </w:rPr>
        <w:t>исі</w:t>
      </w:r>
      <w:r w:rsidRPr="00CB7B9B">
        <w:rPr>
          <w:rFonts w:ascii="Times New Roman" w:hAnsi="Times New Roman" w:cs="Times New Roman"/>
        </w:rPr>
        <w:t xml:space="preserve"> на </w:t>
      </w:r>
      <w:proofErr w:type="spellStart"/>
      <w:r w:rsidRPr="00CB7B9B">
        <w:rPr>
          <w:rFonts w:ascii="Times New Roman" w:hAnsi="Times New Roman" w:cs="Times New Roman"/>
        </w:rPr>
        <w:t>дашборді</w:t>
      </w:r>
      <w:proofErr w:type="spellEnd"/>
      <w:r w:rsidRPr="00CB7B9B">
        <w:rPr>
          <w:rFonts w:ascii="Times New Roman" w:hAnsi="Times New Roman" w:cs="Times New Roman"/>
        </w:rPr>
        <w:t>.</w:t>
      </w:r>
    </w:p>
    <w:sectPr w:rsidR="00CB7B9B" w:rsidRPr="00CB7B9B" w:rsidSect="008D6555">
      <w:headerReference w:type="default" r:id="rId7"/>
      <w:pgSz w:w="16838" w:h="11906" w:orient="landscape"/>
      <w:pgMar w:top="709" w:right="850" w:bottom="568" w:left="85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FFD06" w14:textId="77777777" w:rsidR="004073AB" w:rsidRDefault="004073AB" w:rsidP="004073AB">
      <w:pPr>
        <w:spacing w:after="0" w:line="240" w:lineRule="auto"/>
      </w:pPr>
      <w:r>
        <w:separator/>
      </w:r>
    </w:p>
  </w:endnote>
  <w:endnote w:type="continuationSeparator" w:id="0">
    <w:p w14:paraId="56A994FE" w14:textId="77777777" w:rsidR="004073AB" w:rsidRDefault="004073AB" w:rsidP="004073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C051A" w14:textId="77777777" w:rsidR="004073AB" w:rsidRDefault="004073AB" w:rsidP="004073AB">
      <w:pPr>
        <w:spacing w:after="0" w:line="240" w:lineRule="auto"/>
      </w:pPr>
      <w:r>
        <w:separator/>
      </w:r>
    </w:p>
  </w:footnote>
  <w:footnote w:type="continuationSeparator" w:id="0">
    <w:p w14:paraId="31AE5CF7" w14:textId="77777777" w:rsidR="004073AB" w:rsidRDefault="004073AB" w:rsidP="004073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25896686"/>
      <w:docPartObj>
        <w:docPartGallery w:val="Page Numbers (Top of Page)"/>
        <w:docPartUnique/>
      </w:docPartObj>
    </w:sdtPr>
    <w:sdtEndPr/>
    <w:sdtContent>
      <w:p w14:paraId="50D4E515" w14:textId="4D29D279" w:rsidR="004073AB" w:rsidRDefault="004073AB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8C82DCD" w14:textId="77777777" w:rsidR="004073AB" w:rsidRDefault="004073AB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15091"/>
    <w:multiLevelType w:val="hybridMultilevel"/>
    <w:tmpl w:val="A00A14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70075E"/>
    <w:multiLevelType w:val="hybridMultilevel"/>
    <w:tmpl w:val="0C3012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B05943"/>
    <w:multiLevelType w:val="hybridMultilevel"/>
    <w:tmpl w:val="58CE717A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83891"/>
    <w:multiLevelType w:val="multilevel"/>
    <w:tmpl w:val="B220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2B4C84"/>
    <w:multiLevelType w:val="multilevel"/>
    <w:tmpl w:val="4CCA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452DA5"/>
    <w:multiLevelType w:val="hybridMultilevel"/>
    <w:tmpl w:val="A0BA9260"/>
    <w:lvl w:ilvl="0" w:tplc="915051D4">
      <w:numFmt w:val="bullet"/>
      <w:lvlText w:val="•"/>
      <w:lvlJc w:val="left"/>
      <w:pPr>
        <w:ind w:left="53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7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9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41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13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5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7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91" w:hanging="360"/>
      </w:pPr>
      <w:rPr>
        <w:rFonts w:ascii="Wingdings" w:hAnsi="Wingdings" w:hint="default"/>
      </w:rPr>
    </w:lvl>
  </w:abstractNum>
  <w:abstractNum w:abstractNumId="6" w15:restartNumberingAfterBreak="0">
    <w:nsid w:val="43AC67E6"/>
    <w:multiLevelType w:val="multilevel"/>
    <w:tmpl w:val="5BE4B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3C21CAC"/>
    <w:multiLevelType w:val="hybridMultilevel"/>
    <w:tmpl w:val="54603F3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5F133F"/>
    <w:multiLevelType w:val="multilevel"/>
    <w:tmpl w:val="04DA5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1A31D7A"/>
    <w:multiLevelType w:val="hybridMultilevel"/>
    <w:tmpl w:val="4148EAB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9EF604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885EC1"/>
    <w:multiLevelType w:val="hybridMultilevel"/>
    <w:tmpl w:val="A69082AE"/>
    <w:lvl w:ilvl="0" w:tplc="0422000F">
      <w:start w:val="1"/>
      <w:numFmt w:val="decimal"/>
      <w:lvlText w:val="%1."/>
      <w:lvlJc w:val="left"/>
      <w:pPr>
        <w:ind w:left="644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0743E2"/>
    <w:multiLevelType w:val="hybridMultilevel"/>
    <w:tmpl w:val="115A29E4"/>
    <w:lvl w:ilvl="0" w:tplc="915051D4">
      <w:numFmt w:val="bullet"/>
      <w:lvlText w:val="•"/>
      <w:lvlJc w:val="left"/>
      <w:pPr>
        <w:ind w:left="702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11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31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51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771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491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11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31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51" w:hanging="360"/>
      </w:pPr>
      <w:rPr>
        <w:rFonts w:ascii="Wingdings" w:hAnsi="Wingdings" w:hint="default"/>
      </w:rPr>
    </w:lvl>
  </w:abstractNum>
  <w:abstractNum w:abstractNumId="12" w15:restartNumberingAfterBreak="0">
    <w:nsid w:val="7A6968B6"/>
    <w:multiLevelType w:val="hybridMultilevel"/>
    <w:tmpl w:val="92B6E4A8"/>
    <w:lvl w:ilvl="0" w:tplc="915051D4">
      <w:numFmt w:val="bullet"/>
      <w:lvlText w:val="•"/>
      <w:lvlJc w:val="left"/>
      <w:pPr>
        <w:ind w:left="531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6995381">
    <w:abstractNumId w:val="10"/>
  </w:num>
  <w:num w:numId="2" w16cid:durableId="1350568131">
    <w:abstractNumId w:val="7"/>
  </w:num>
  <w:num w:numId="3" w16cid:durableId="109786874">
    <w:abstractNumId w:val="0"/>
  </w:num>
  <w:num w:numId="4" w16cid:durableId="1817062798">
    <w:abstractNumId w:val="9"/>
  </w:num>
  <w:num w:numId="5" w16cid:durableId="1274822396">
    <w:abstractNumId w:val="1"/>
  </w:num>
  <w:num w:numId="6" w16cid:durableId="628895206">
    <w:abstractNumId w:val="2"/>
  </w:num>
  <w:num w:numId="7" w16cid:durableId="1865170249">
    <w:abstractNumId w:val="5"/>
  </w:num>
  <w:num w:numId="8" w16cid:durableId="354354382">
    <w:abstractNumId w:val="12"/>
  </w:num>
  <w:num w:numId="9" w16cid:durableId="43061695">
    <w:abstractNumId w:val="11"/>
  </w:num>
  <w:num w:numId="10" w16cid:durableId="1430661656">
    <w:abstractNumId w:val="8"/>
  </w:num>
  <w:num w:numId="11" w16cid:durableId="1979912415">
    <w:abstractNumId w:val="3"/>
  </w:num>
  <w:num w:numId="12" w16cid:durableId="2089182614">
    <w:abstractNumId w:val="6"/>
  </w:num>
  <w:num w:numId="13" w16cid:durableId="6997464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9EE"/>
    <w:rsid w:val="00012866"/>
    <w:rsid w:val="00052CC7"/>
    <w:rsid w:val="000759A6"/>
    <w:rsid w:val="000A0E30"/>
    <w:rsid w:val="000A4FD8"/>
    <w:rsid w:val="00135024"/>
    <w:rsid w:val="00190CEA"/>
    <w:rsid w:val="002203F5"/>
    <w:rsid w:val="002A6230"/>
    <w:rsid w:val="002A6F4A"/>
    <w:rsid w:val="002D3AF6"/>
    <w:rsid w:val="002E1B7D"/>
    <w:rsid w:val="003359E5"/>
    <w:rsid w:val="003731A6"/>
    <w:rsid w:val="00387347"/>
    <w:rsid w:val="004073AB"/>
    <w:rsid w:val="004505AA"/>
    <w:rsid w:val="00464276"/>
    <w:rsid w:val="004924DC"/>
    <w:rsid w:val="004D2AF5"/>
    <w:rsid w:val="00543E03"/>
    <w:rsid w:val="00594D53"/>
    <w:rsid w:val="006014D0"/>
    <w:rsid w:val="006113B9"/>
    <w:rsid w:val="006826C1"/>
    <w:rsid w:val="00691CC8"/>
    <w:rsid w:val="006A4B09"/>
    <w:rsid w:val="0071647B"/>
    <w:rsid w:val="007B3AB1"/>
    <w:rsid w:val="007C67BB"/>
    <w:rsid w:val="007E55C9"/>
    <w:rsid w:val="008119EE"/>
    <w:rsid w:val="008148C4"/>
    <w:rsid w:val="0085439C"/>
    <w:rsid w:val="008B3C99"/>
    <w:rsid w:val="008D6555"/>
    <w:rsid w:val="009251A6"/>
    <w:rsid w:val="0096473E"/>
    <w:rsid w:val="00973BD4"/>
    <w:rsid w:val="009A5823"/>
    <w:rsid w:val="009F3573"/>
    <w:rsid w:val="00A46F40"/>
    <w:rsid w:val="00B6595A"/>
    <w:rsid w:val="00CB7B9B"/>
    <w:rsid w:val="00CE2ABA"/>
    <w:rsid w:val="00D43DCF"/>
    <w:rsid w:val="00D6778F"/>
    <w:rsid w:val="00D84BA8"/>
    <w:rsid w:val="00DD767F"/>
    <w:rsid w:val="00F4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54157"/>
  <w15:chartTrackingRefBased/>
  <w15:docId w15:val="{0936CE0F-09A2-424D-8ADA-C388D2680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theme="minorHAnsi"/>
        <w:kern w:val="2"/>
        <w:sz w:val="24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19EE"/>
    <w:rPr>
      <w:rFonts w:asciiTheme="minorHAnsi" w:eastAsiaTheme="minorHAnsi" w:hAnsiTheme="minorHAnsi" w:cstheme="minorBidi"/>
      <w:sz w:val="22"/>
    </w:rPr>
  </w:style>
  <w:style w:type="paragraph" w:styleId="1">
    <w:name w:val="heading 1"/>
    <w:basedOn w:val="a"/>
    <w:next w:val="a"/>
    <w:link w:val="10"/>
    <w:uiPriority w:val="9"/>
    <w:qFormat/>
    <w:rsid w:val="00CE2ABA"/>
    <w:pPr>
      <w:keepNext/>
      <w:keepLines/>
      <w:spacing w:before="240" w:after="240" w:line="240" w:lineRule="auto"/>
      <w:outlineLvl w:val="0"/>
    </w:pPr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3E03"/>
    <w:pPr>
      <w:keepNext/>
      <w:keepLines/>
      <w:spacing w:before="120" w:after="120" w:line="240" w:lineRule="auto"/>
      <w:outlineLvl w:val="1"/>
    </w:pPr>
    <w:rPr>
      <w:rFonts w:eastAsiaTheme="majorEastAsia" w:cstheme="majorBidi"/>
      <w:b/>
      <w:color w:val="000000" w:themeColor="tex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A4FD8"/>
    <w:pPr>
      <w:keepNext/>
      <w:keepLines/>
      <w:spacing w:before="120" w:after="120" w:line="240" w:lineRule="auto"/>
      <w:outlineLvl w:val="2"/>
    </w:pPr>
    <w:rPr>
      <w:rFonts w:eastAsiaTheme="majorEastAsia" w:cstheme="majorBidi"/>
      <w:b/>
      <w:color w:val="000000" w:themeColor="text1"/>
      <w:sz w:val="26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9E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9E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9E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9E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9E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9E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2ABA"/>
    <w:rPr>
      <w:rFonts w:eastAsiaTheme="majorEastAsia" w:cstheme="majorBidi"/>
      <w:b/>
      <w:color w:val="000000" w:themeColor="text1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43E03"/>
    <w:rPr>
      <w:rFonts w:eastAsiaTheme="majorEastAsia" w:cstheme="majorBidi"/>
      <w:b/>
      <w:color w:val="000000" w:themeColor="tex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A4FD8"/>
    <w:rPr>
      <w:rFonts w:eastAsiaTheme="majorEastAsia" w:cstheme="majorBidi"/>
      <w:b/>
      <w:color w:val="000000" w:themeColor="text1"/>
      <w:sz w:val="26"/>
      <w:szCs w:val="24"/>
    </w:rPr>
  </w:style>
  <w:style w:type="paragraph" w:styleId="a3">
    <w:name w:val="caption"/>
    <w:basedOn w:val="a"/>
    <w:next w:val="a"/>
    <w:uiPriority w:val="35"/>
    <w:unhideWhenUsed/>
    <w:qFormat/>
    <w:rsid w:val="000A4FD8"/>
    <w:pPr>
      <w:spacing w:before="120" w:after="120" w:line="240" w:lineRule="auto"/>
    </w:pPr>
    <w:rPr>
      <w:iCs/>
      <w:color w:val="000000" w:themeColor="text1"/>
      <w:szCs w:val="18"/>
    </w:rPr>
  </w:style>
  <w:style w:type="paragraph" w:styleId="a4">
    <w:name w:val="List Paragraph"/>
    <w:basedOn w:val="a"/>
    <w:uiPriority w:val="34"/>
    <w:qFormat/>
    <w:rsid w:val="000A4FD8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8119EE"/>
    <w:rPr>
      <w:rFonts w:asciiTheme="minorHAnsi" w:eastAsiaTheme="majorEastAsia" w:hAnsiTheme="minorHAnsi" w:cstheme="majorBidi"/>
      <w:i/>
      <w:iCs/>
      <w:color w:val="2E74B5" w:themeColor="accent1" w:themeShade="BF"/>
      <w:szCs w:val="20"/>
      <w:lang w:val="ru-RU"/>
    </w:rPr>
  </w:style>
  <w:style w:type="character" w:customStyle="1" w:styleId="50">
    <w:name w:val="Заголовок 5 Знак"/>
    <w:basedOn w:val="a0"/>
    <w:link w:val="5"/>
    <w:uiPriority w:val="9"/>
    <w:semiHidden/>
    <w:rsid w:val="008119EE"/>
    <w:rPr>
      <w:rFonts w:asciiTheme="minorHAnsi" w:eastAsiaTheme="majorEastAsia" w:hAnsiTheme="minorHAnsi" w:cstheme="majorBidi"/>
      <w:color w:val="2E74B5" w:themeColor="accent1" w:themeShade="BF"/>
      <w:szCs w:val="20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8119EE"/>
    <w:rPr>
      <w:rFonts w:asciiTheme="minorHAnsi" w:eastAsiaTheme="majorEastAsia" w:hAnsiTheme="minorHAnsi" w:cstheme="majorBidi"/>
      <w:i/>
      <w:iCs/>
      <w:color w:val="595959" w:themeColor="text1" w:themeTint="A6"/>
      <w:szCs w:val="20"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8119EE"/>
    <w:rPr>
      <w:rFonts w:asciiTheme="minorHAnsi" w:eastAsiaTheme="majorEastAsia" w:hAnsiTheme="minorHAnsi" w:cstheme="majorBidi"/>
      <w:color w:val="595959" w:themeColor="text1" w:themeTint="A6"/>
      <w:szCs w:val="20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8119EE"/>
    <w:rPr>
      <w:rFonts w:asciiTheme="minorHAnsi" w:eastAsiaTheme="majorEastAsia" w:hAnsiTheme="minorHAnsi" w:cstheme="majorBidi"/>
      <w:i/>
      <w:iCs/>
      <w:color w:val="272727" w:themeColor="text1" w:themeTint="D8"/>
      <w:szCs w:val="20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8119EE"/>
    <w:rPr>
      <w:rFonts w:asciiTheme="minorHAnsi" w:eastAsiaTheme="majorEastAsia" w:hAnsiTheme="minorHAnsi" w:cstheme="majorBidi"/>
      <w:color w:val="272727" w:themeColor="text1" w:themeTint="D8"/>
      <w:szCs w:val="20"/>
      <w:lang w:val="ru-RU"/>
    </w:rPr>
  </w:style>
  <w:style w:type="paragraph" w:styleId="a5">
    <w:name w:val="Title"/>
    <w:basedOn w:val="a"/>
    <w:next w:val="a"/>
    <w:link w:val="a6"/>
    <w:uiPriority w:val="10"/>
    <w:qFormat/>
    <w:rsid w:val="008119E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6">
    <w:name w:val="Назва Знак"/>
    <w:basedOn w:val="a0"/>
    <w:link w:val="a5"/>
    <w:uiPriority w:val="10"/>
    <w:rsid w:val="008119EE"/>
    <w:rPr>
      <w:rFonts w:asciiTheme="majorHAnsi" w:eastAsiaTheme="majorEastAsia" w:hAnsiTheme="majorHAnsi" w:cstheme="majorBidi"/>
      <w:spacing w:val="-10"/>
      <w:kern w:val="28"/>
      <w:sz w:val="56"/>
      <w:szCs w:val="56"/>
      <w:lang w:val="ru-RU"/>
    </w:rPr>
  </w:style>
  <w:style w:type="paragraph" w:styleId="a7">
    <w:name w:val="Subtitle"/>
    <w:basedOn w:val="a"/>
    <w:next w:val="a"/>
    <w:link w:val="a8"/>
    <w:uiPriority w:val="11"/>
    <w:qFormat/>
    <w:rsid w:val="008119E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8">
    <w:name w:val="Підзаголовок Знак"/>
    <w:basedOn w:val="a0"/>
    <w:link w:val="a7"/>
    <w:uiPriority w:val="11"/>
    <w:rsid w:val="008119E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paragraph" w:styleId="a9">
    <w:name w:val="Quote"/>
    <w:basedOn w:val="a"/>
    <w:next w:val="a"/>
    <w:link w:val="aa"/>
    <w:uiPriority w:val="29"/>
    <w:qFormat/>
    <w:rsid w:val="008119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a">
    <w:name w:val="Цитата Знак"/>
    <w:basedOn w:val="a0"/>
    <w:link w:val="a9"/>
    <w:uiPriority w:val="29"/>
    <w:rsid w:val="008119EE"/>
    <w:rPr>
      <w:rFonts w:cs="Times New Roman"/>
      <w:i/>
      <w:iCs/>
      <w:color w:val="404040" w:themeColor="text1" w:themeTint="BF"/>
      <w:szCs w:val="20"/>
      <w:lang w:val="ru-RU"/>
    </w:rPr>
  </w:style>
  <w:style w:type="character" w:styleId="ab">
    <w:name w:val="Intense Emphasis"/>
    <w:basedOn w:val="a0"/>
    <w:uiPriority w:val="21"/>
    <w:qFormat/>
    <w:rsid w:val="008119EE"/>
    <w:rPr>
      <w:i/>
      <w:iCs/>
      <w:color w:val="2E74B5" w:themeColor="accent1" w:themeShade="BF"/>
    </w:rPr>
  </w:style>
  <w:style w:type="paragraph" w:styleId="ac">
    <w:name w:val="Intense Quote"/>
    <w:basedOn w:val="a"/>
    <w:next w:val="a"/>
    <w:link w:val="ad"/>
    <w:uiPriority w:val="30"/>
    <w:qFormat/>
    <w:rsid w:val="008119E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d">
    <w:name w:val="Насичена цитата Знак"/>
    <w:basedOn w:val="a0"/>
    <w:link w:val="ac"/>
    <w:uiPriority w:val="30"/>
    <w:rsid w:val="008119EE"/>
    <w:rPr>
      <w:rFonts w:cs="Times New Roman"/>
      <w:i/>
      <w:iCs/>
      <w:color w:val="2E74B5" w:themeColor="accent1" w:themeShade="BF"/>
      <w:szCs w:val="20"/>
      <w:lang w:val="ru-RU"/>
    </w:rPr>
  </w:style>
  <w:style w:type="character" w:styleId="ae">
    <w:name w:val="Intense Reference"/>
    <w:basedOn w:val="a0"/>
    <w:uiPriority w:val="32"/>
    <w:qFormat/>
    <w:rsid w:val="008119EE"/>
    <w:rPr>
      <w:b/>
      <w:bCs/>
      <w:smallCaps/>
      <w:color w:val="2E74B5" w:themeColor="accent1" w:themeShade="BF"/>
      <w:spacing w:val="5"/>
    </w:rPr>
  </w:style>
  <w:style w:type="table" w:styleId="af">
    <w:name w:val="Table Grid"/>
    <w:basedOn w:val="a1"/>
    <w:uiPriority w:val="39"/>
    <w:rsid w:val="008119EE"/>
    <w:pPr>
      <w:spacing w:after="0" w:line="240" w:lineRule="auto"/>
    </w:pPr>
    <w:rPr>
      <w:rFonts w:asciiTheme="minorHAnsi" w:eastAsiaTheme="minorHAnsi" w:hAnsiTheme="minorHAnsi" w:cstheme="minorBid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8119EE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8119EE"/>
    <w:pPr>
      <w:spacing w:line="240" w:lineRule="auto"/>
    </w:pPr>
    <w:rPr>
      <w:sz w:val="20"/>
      <w:szCs w:val="20"/>
    </w:rPr>
  </w:style>
  <w:style w:type="character" w:customStyle="1" w:styleId="af2">
    <w:name w:val="Текст примітки Знак"/>
    <w:basedOn w:val="a0"/>
    <w:link w:val="af1"/>
    <w:uiPriority w:val="99"/>
    <w:rsid w:val="008119EE"/>
    <w:rPr>
      <w:rFonts w:asciiTheme="minorHAnsi" w:eastAsiaTheme="minorHAnsi" w:hAnsiTheme="minorHAnsi" w:cstheme="minorBidi"/>
      <w:sz w:val="20"/>
      <w:szCs w:val="20"/>
    </w:rPr>
  </w:style>
  <w:style w:type="paragraph" w:styleId="af3">
    <w:name w:val="header"/>
    <w:basedOn w:val="a"/>
    <w:link w:val="af4"/>
    <w:uiPriority w:val="99"/>
    <w:unhideWhenUsed/>
    <w:rsid w:val="004073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4073AB"/>
    <w:rPr>
      <w:rFonts w:asciiTheme="minorHAnsi" w:eastAsiaTheme="minorHAnsi" w:hAnsiTheme="minorHAnsi" w:cstheme="minorBidi"/>
      <w:sz w:val="22"/>
    </w:rPr>
  </w:style>
  <w:style w:type="paragraph" w:styleId="af5">
    <w:name w:val="footer"/>
    <w:basedOn w:val="a"/>
    <w:link w:val="af6"/>
    <w:uiPriority w:val="99"/>
    <w:unhideWhenUsed/>
    <w:rsid w:val="004073A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4073AB"/>
    <w:rPr>
      <w:rFonts w:asciiTheme="minorHAnsi" w:eastAsiaTheme="minorHAnsi" w:hAnsiTheme="minorHAnsi" w:cstheme="minorBidi"/>
      <w:sz w:val="22"/>
    </w:rPr>
  </w:style>
  <w:style w:type="paragraph" w:styleId="af7">
    <w:name w:val="Normal (Web)"/>
    <w:basedOn w:val="a"/>
    <w:uiPriority w:val="99"/>
    <w:semiHidden/>
    <w:unhideWhenUsed/>
    <w:rsid w:val="00973B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25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5</Pages>
  <Words>4901</Words>
  <Characters>2795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Герман Тетяна</dc:creator>
  <cp:keywords/>
  <dc:description/>
  <cp:lastModifiedBy>Герман Тетяна</cp:lastModifiedBy>
  <cp:revision>24</cp:revision>
  <dcterms:created xsi:type="dcterms:W3CDTF">2024-02-12T12:59:00Z</dcterms:created>
  <dcterms:modified xsi:type="dcterms:W3CDTF">2024-02-20T14:55:00Z</dcterms:modified>
</cp:coreProperties>
</file>