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0A75A" w14:textId="65D5A657" w:rsidR="008119EE" w:rsidRPr="00464276" w:rsidRDefault="008119EE" w:rsidP="008119E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64276">
        <w:rPr>
          <w:rFonts w:ascii="Times New Roman" w:hAnsi="Times New Roman" w:cs="Times New Roman"/>
          <w:b/>
          <w:bCs/>
          <w:sz w:val="32"/>
          <w:szCs w:val="32"/>
        </w:rPr>
        <w:t>Опис показників</w:t>
      </w:r>
      <w:r w:rsidR="00464276" w:rsidRPr="00464276">
        <w:rPr>
          <w:rFonts w:ascii="Times New Roman" w:hAnsi="Times New Roman" w:cs="Times New Roman"/>
          <w:b/>
          <w:bCs/>
          <w:sz w:val="32"/>
          <w:szCs w:val="32"/>
        </w:rPr>
        <w:t xml:space="preserve"> за договорами внутрішнього страхування</w:t>
      </w:r>
      <w:r w:rsidRPr="00464276">
        <w:rPr>
          <w:rFonts w:ascii="Times New Roman" w:hAnsi="Times New Roman" w:cs="Times New Roman"/>
          <w:b/>
          <w:bCs/>
          <w:sz w:val="32"/>
          <w:szCs w:val="32"/>
        </w:rPr>
        <w:t xml:space="preserve"> для публічних дашбордів</w:t>
      </w:r>
    </w:p>
    <w:p w14:paraId="6C24F149" w14:textId="29D41B0C" w:rsidR="00D6778F" w:rsidRPr="00464276" w:rsidRDefault="00464276" w:rsidP="00CE2ABA">
      <w:pPr>
        <w:pStyle w:val="1"/>
        <w:numPr>
          <w:ilvl w:val="0"/>
          <w:numId w:val="5"/>
        </w:numPr>
      </w:pPr>
      <w:r>
        <w:t>Основні показники ринку ОСПВВНТЗ та у розрізі Страховиків</w:t>
      </w:r>
    </w:p>
    <w:tbl>
      <w:tblPr>
        <w:tblStyle w:val="af"/>
        <w:tblW w:w="14884" w:type="dxa"/>
        <w:tblInd w:w="-147" w:type="dxa"/>
        <w:tblLook w:val="04A0" w:firstRow="1" w:lastRow="0" w:firstColumn="1" w:lastColumn="0" w:noHBand="0" w:noVBand="1"/>
      </w:tblPr>
      <w:tblGrid>
        <w:gridCol w:w="506"/>
        <w:gridCol w:w="2471"/>
        <w:gridCol w:w="9079"/>
        <w:gridCol w:w="1412"/>
        <w:gridCol w:w="1416"/>
      </w:tblGrid>
      <w:tr w:rsidR="00464276" w:rsidRPr="003B333F" w14:paraId="67F5FE38" w14:textId="1631CA07" w:rsidTr="008D6555">
        <w:trPr>
          <w:tblHeader/>
        </w:trPr>
        <w:tc>
          <w:tcPr>
            <w:tcW w:w="506" w:type="dxa"/>
            <w:vMerge w:val="restart"/>
            <w:shd w:val="clear" w:color="auto" w:fill="D9D9D9" w:themeFill="background1" w:themeFillShade="D9"/>
            <w:vAlign w:val="center"/>
          </w:tcPr>
          <w:p w14:paraId="00F08F5E" w14:textId="77777777" w:rsidR="00464276" w:rsidRPr="00B961CC" w:rsidRDefault="00464276" w:rsidP="0046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471" w:type="dxa"/>
            <w:vMerge w:val="restart"/>
            <w:shd w:val="clear" w:color="auto" w:fill="D9D9D9" w:themeFill="background1" w:themeFillShade="D9"/>
            <w:vAlign w:val="center"/>
          </w:tcPr>
          <w:p w14:paraId="27B8BC7A" w14:textId="77777777" w:rsidR="00464276" w:rsidRPr="00B961CC" w:rsidRDefault="00464276" w:rsidP="004642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ПОКАЗНИК</w:t>
            </w:r>
          </w:p>
        </w:tc>
        <w:tc>
          <w:tcPr>
            <w:tcW w:w="9079" w:type="dxa"/>
            <w:vMerge w:val="restart"/>
            <w:shd w:val="clear" w:color="auto" w:fill="D9D9D9" w:themeFill="background1" w:themeFillShade="D9"/>
            <w:vAlign w:val="center"/>
          </w:tcPr>
          <w:p w14:paraId="7523580E" w14:textId="77777777" w:rsidR="00464276" w:rsidRPr="00B961CC" w:rsidRDefault="00464276" w:rsidP="004642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</w:t>
            </w:r>
          </w:p>
        </w:tc>
        <w:tc>
          <w:tcPr>
            <w:tcW w:w="2828" w:type="dxa"/>
            <w:gridSpan w:val="2"/>
            <w:shd w:val="clear" w:color="auto" w:fill="D9D9D9" w:themeFill="background1" w:themeFillShade="D9"/>
          </w:tcPr>
          <w:p w14:paraId="622CE44D" w14:textId="39AE47A6" w:rsidR="00464276" w:rsidRPr="00B961CC" w:rsidRDefault="00464276" w:rsidP="003B33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Відображення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дашборді</w:t>
            </w:r>
            <w:proofErr w:type="spellEnd"/>
          </w:p>
        </w:tc>
      </w:tr>
      <w:tr w:rsidR="00464276" w:rsidRPr="003B333F" w14:paraId="5805CC9B" w14:textId="69D3BB22" w:rsidTr="008D6555">
        <w:trPr>
          <w:tblHeader/>
        </w:trPr>
        <w:tc>
          <w:tcPr>
            <w:tcW w:w="506" w:type="dxa"/>
            <w:vMerge/>
            <w:shd w:val="clear" w:color="auto" w:fill="D9E2F3" w:themeFill="accent5" w:themeFillTint="33"/>
          </w:tcPr>
          <w:p w14:paraId="447AE0B9" w14:textId="77777777" w:rsidR="00464276" w:rsidRPr="00B961CC" w:rsidRDefault="00464276" w:rsidP="003B33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1" w:type="dxa"/>
            <w:vMerge/>
            <w:shd w:val="clear" w:color="auto" w:fill="D9E2F3" w:themeFill="accent5" w:themeFillTint="33"/>
          </w:tcPr>
          <w:p w14:paraId="390BEB2E" w14:textId="77777777" w:rsidR="00464276" w:rsidRPr="00B961CC" w:rsidRDefault="00464276" w:rsidP="003B33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9" w:type="dxa"/>
            <w:vMerge/>
            <w:shd w:val="clear" w:color="auto" w:fill="D9E2F3" w:themeFill="accent5" w:themeFillTint="33"/>
          </w:tcPr>
          <w:p w14:paraId="63268694" w14:textId="01877407" w:rsidR="00464276" w:rsidRPr="00B961CC" w:rsidRDefault="00464276" w:rsidP="003B33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14:paraId="7ABF00A8" w14:textId="4F5202F6" w:rsidR="00464276" w:rsidRPr="00CE2ABA" w:rsidRDefault="00464276" w:rsidP="003B33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ABA">
              <w:rPr>
                <w:rFonts w:ascii="Times New Roman" w:hAnsi="Times New Roman" w:cs="Times New Roman"/>
                <w:b/>
                <w:bCs/>
              </w:rPr>
              <w:t>У розрізі СК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14:paraId="0C893029" w14:textId="16A3FB7F" w:rsidR="00464276" w:rsidRPr="00CE2ABA" w:rsidRDefault="00464276" w:rsidP="003B33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ABA">
              <w:rPr>
                <w:rFonts w:ascii="Times New Roman" w:hAnsi="Times New Roman" w:cs="Times New Roman"/>
                <w:b/>
                <w:bCs/>
              </w:rPr>
              <w:t>Загальний по ринку</w:t>
            </w:r>
          </w:p>
        </w:tc>
      </w:tr>
      <w:tr w:rsidR="00CE2ABA" w:rsidRPr="003B333F" w14:paraId="34EDE4DA" w14:textId="77777777" w:rsidTr="008D6555">
        <w:trPr>
          <w:trHeight w:val="2222"/>
        </w:trPr>
        <w:tc>
          <w:tcPr>
            <w:tcW w:w="506" w:type="dxa"/>
          </w:tcPr>
          <w:p w14:paraId="2F24D6D4" w14:textId="77777777" w:rsidR="00CE2ABA" w:rsidRPr="00B961CC" w:rsidRDefault="00CE2ABA" w:rsidP="00CE2AB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14:paraId="33524E52" w14:textId="3FF5ADB4" w:rsidR="00CE2ABA" w:rsidRPr="00B961CC" w:rsidRDefault="00CE2ABA" w:rsidP="00CE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Кількість укладених договорів, шт.</w:t>
            </w:r>
          </w:p>
        </w:tc>
        <w:tc>
          <w:tcPr>
            <w:tcW w:w="9079" w:type="dxa"/>
          </w:tcPr>
          <w:p w14:paraId="0EBF16A0" w14:textId="092BC9E1" w:rsidR="00CE2ABA" w:rsidRPr="00B961CC" w:rsidRDefault="00CE2ABA" w:rsidP="00CE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Показник відображає кількість договорів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внутрішнього страхування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, що завантажені на момент перегляду візуалізації до БД</w:t>
            </w:r>
            <w:r w:rsidR="002D3A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33F">
              <w:rPr>
                <w:rFonts w:ascii="Times New Roman" w:hAnsi="Times New Roman" w:cs="Times New Roman"/>
                <w:sz w:val="24"/>
                <w:szCs w:val="24"/>
              </w:rPr>
              <w:t>з якої беруться дані для дашбордів,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та які знаходяться в  статусі «Укладений» та «Достроково припинений». </w:t>
            </w:r>
          </w:p>
          <w:p w14:paraId="53D3A9F4" w14:textId="30E56F9C" w:rsidR="00CE2ABA" w:rsidRDefault="00CE2ABA" w:rsidP="00CE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У кількість укладених договорів не входять договори, що були переоформлені, дублікати.</w:t>
            </w:r>
          </w:p>
          <w:p w14:paraId="5C827465" w14:textId="77777777" w:rsidR="00CE2ABA" w:rsidRDefault="00CE2ABA" w:rsidP="00CE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Вибір даних здійснюється по даті укладання договорів (рік/місяць), які входять в обраний період, за який відображаються данні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дашборді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936851" w14:textId="13B820FC" w:rsidR="00CE2ABA" w:rsidRPr="00B961CC" w:rsidRDefault="00CE2ABA" w:rsidP="00CE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загальному показнику за всіма СК враховуються показники тільки за тими СК, що в обраний період були членами МТСБУ.</w:t>
            </w:r>
          </w:p>
        </w:tc>
        <w:tc>
          <w:tcPr>
            <w:tcW w:w="1412" w:type="dxa"/>
          </w:tcPr>
          <w:p w14:paraId="6D15E508" w14:textId="6BFC6DBA" w:rsidR="00CE2ABA" w:rsidRDefault="00CE2ABA" w:rsidP="002D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416" w:type="dxa"/>
          </w:tcPr>
          <w:p w14:paraId="7C005C9D" w14:textId="2F92ACC0" w:rsidR="00CE2ABA" w:rsidRDefault="00CE2ABA" w:rsidP="002D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85439C" w:rsidRPr="003B333F" w14:paraId="20387E75" w14:textId="77777777" w:rsidTr="008D6555">
        <w:trPr>
          <w:trHeight w:val="2222"/>
        </w:trPr>
        <w:tc>
          <w:tcPr>
            <w:tcW w:w="506" w:type="dxa"/>
          </w:tcPr>
          <w:p w14:paraId="257155BD" w14:textId="77777777" w:rsidR="0085439C" w:rsidRPr="00B961CC" w:rsidRDefault="0085439C" w:rsidP="0085439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14:paraId="07F305A3" w14:textId="2A7FF18A" w:rsidR="0085439C" w:rsidRPr="00B961CC" w:rsidRDefault="0085439C" w:rsidP="00854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Сума нарахованих страхових премій</w:t>
            </w:r>
            <w:r w:rsidR="006014D0">
              <w:rPr>
                <w:rFonts w:ascii="Times New Roman" w:hAnsi="Times New Roman" w:cs="Times New Roman"/>
                <w:sz w:val="24"/>
                <w:szCs w:val="24"/>
              </w:rPr>
              <w:t xml:space="preserve"> за укладеними договорами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, грн</w:t>
            </w:r>
          </w:p>
        </w:tc>
        <w:tc>
          <w:tcPr>
            <w:tcW w:w="9079" w:type="dxa"/>
          </w:tcPr>
          <w:p w14:paraId="13B7BD1E" w14:textId="74429F4A" w:rsidR="0085439C" w:rsidRPr="00B961CC" w:rsidRDefault="0085439C" w:rsidP="00854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Показник відображає суму нарахованих премії за укладеними договорами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внутрішнього страхування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, що завантажені на момент перегляду візуалізації до БД</w:t>
            </w:r>
            <w:r w:rsidR="002D3A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33F">
              <w:rPr>
                <w:rFonts w:ascii="Times New Roman" w:hAnsi="Times New Roman" w:cs="Times New Roman"/>
                <w:sz w:val="24"/>
                <w:szCs w:val="24"/>
              </w:rPr>
              <w:t>з якої беруться дані для дашбордів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 які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  знаходяться в  статусі «Укладений» та «Достроково припинений». </w:t>
            </w:r>
            <w:r w:rsidR="007B3AB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7E5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укладених договорів не входять договори, що були переоформлені, дублікати</w:t>
            </w:r>
            <w:r w:rsidR="002D3AF6" w:rsidRPr="00B96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4AC8B1" w14:textId="77777777" w:rsidR="0085439C" w:rsidRDefault="0085439C" w:rsidP="00854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Вибір даних здійснюється по даті укладання договорів (рік/місяць), які входять в обраний період, за який відображаються данні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дашборді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2BE6C1" w14:textId="4001F136" w:rsidR="0085439C" w:rsidRPr="00B961CC" w:rsidRDefault="0085439C" w:rsidP="00854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загальному показнику за всіма СК враховуються показники тільки за тими СК, що в обраний період були членами МТСБУ.</w:t>
            </w:r>
          </w:p>
        </w:tc>
        <w:tc>
          <w:tcPr>
            <w:tcW w:w="1412" w:type="dxa"/>
          </w:tcPr>
          <w:p w14:paraId="5C4037DA" w14:textId="2E036EEE" w:rsidR="0085439C" w:rsidRDefault="0085439C" w:rsidP="002D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416" w:type="dxa"/>
          </w:tcPr>
          <w:p w14:paraId="26AB99D0" w14:textId="54C36F0F" w:rsidR="0085439C" w:rsidRDefault="0085439C" w:rsidP="002D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85439C" w:rsidRPr="003B333F" w14:paraId="335E1C74" w14:textId="77777777" w:rsidTr="008D6555">
        <w:trPr>
          <w:trHeight w:val="714"/>
        </w:trPr>
        <w:tc>
          <w:tcPr>
            <w:tcW w:w="506" w:type="dxa"/>
          </w:tcPr>
          <w:p w14:paraId="32580354" w14:textId="77777777" w:rsidR="0085439C" w:rsidRPr="00B961CC" w:rsidRDefault="0085439C" w:rsidP="0085439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14:paraId="75848986" w14:textId="2FCFC27A" w:rsidR="0085439C" w:rsidRPr="00B961CC" w:rsidRDefault="0085439C" w:rsidP="00854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договорів, що розпочали дію,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079" w:type="dxa"/>
          </w:tcPr>
          <w:p w14:paraId="3B9D0709" w14:textId="6D8DE8DE" w:rsidR="0085439C" w:rsidRDefault="0085439C" w:rsidP="00854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Показник відображає кількість договорів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внутрішнього страхування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, що завантажені на момент перегляду візуалізації до БД </w:t>
            </w:r>
            <w:r w:rsidRPr="003B333F">
              <w:rPr>
                <w:rFonts w:ascii="Times New Roman" w:hAnsi="Times New Roman" w:cs="Times New Roman"/>
                <w:sz w:val="24"/>
                <w:szCs w:val="24"/>
              </w:rPr>
              <w:t>з якої беруться дані для дашбордів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та 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знаходяться в  статусі «Укладений» та «Достроково припинений». У кількість договорів не входять договори, що були переоформлені, дублікати</w:t>
            </w:r>
            <w:r w:rsidR="002D3AF6" w:rsidRPr="00B96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23C8E7" w14:textId="77777777" w:rsidR="0085439C" w:rsidRDefault="0085439C" w:rsidP="00854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Вибір даних здійснюється по даті вступу в дію договорів (рік/місяць), які входять в обраний період, за який відображаються данні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дашборді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5864B8" w14:textId="782B82F5" w:rsidR="00B6595A" w:rsidRDefault="00B6595A" w:rsidP="00854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Договори розподіляються на «електронні» та паперові» за ознакою, що розраховується 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за серією договору.</w:t>
            </w:r>
          </w:p>
          <w:p w14:paraId="16AE675F" w14:textId="0EBC7EC8" w:rsidR="0085439C" w:rsidRDefault="0085439C" w:rsidP="00854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загальному показнику за всіма СК враховуються показники тільки за тими СК, що в обраний період були членами МТСБУ.</w:t>
            </w:r>
          </w:p>
          <w:p w14:paraId="789CDBFA" w14:textId="6E991629" w:rsidR="0085439C" w:rsidRPr="00B961CC" w:rsidRDefault="0085439C" w:rsidP="00854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34B0013A" w14:textId="3A7E7BBE" w:rsidR="0085439C" w:rsidRDefault="0085439C" w:rsidP="002D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416" w:type="dxa"/>
          </w:tcPr>
          <w:p w14:paraId="5F2BEE34" w14:textId="215DF38E" w:rsidR="0085439C" w:rsidRDefault="0085439C" w:rsidP="002D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85439C" w:rsidRPr="003B333F" w14:paraId="1BC597CE" w14:textId="77777777" w:rsidTr="008D6555">
        <w:trPr>
          <w:trHeight w:val="1588"/>
        </w:trPr>
        <w:tc>
          <w:tcPr>
            <w:tcW w:w="506" w:type="dxa"/>
          </w:tcPr>
          <w:p w14:paraId="3C7666A2" w14:textId="77777777" w:rsidR="0085439C" w:rsidRPr="00B961CC" w:rsidRDefault="0085439C" w:rsidP="0085439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14:paraId="254C1C2F" w14:textId="02B39D53" w:rsidR="0085439C" w:rsidRPr="00B961CC" w:rsidRDefault="0085439C" w:rsidP="00854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C1">
              <w:rPr>
                <w:rFonts w:ascii="Times New Roman" w:hAnsi="Times New Roman" w:cs="Times New Roman"/>
                <w:sz w:val="24"/>
                <w:szCs w:val="24"/>
              </w:rPr>
              <w:t>Питома вага кількості паперових та електронних договорів</w:t>
            </w:r>
            <w:r w:rsidR="00CE2ABA">
              <w:rPr>
                <w:rFonts w:ascii="Times New Roman" w:hAnsi="Times New Roman" w:cs="Times New Roman"/>
                <w:sz w:val="24"/>
                <w:szCs w:val="24"/>
              </w:rPr>
              <w:t>, що розпочали дію</w:t>
            </w:r>
          </w:p>
        </w:tc>
        <w:tc>
          <w:tcPr>
            <w:tcW w:w="9079" w:type="dxa"/>
          </w:tcPr>
          <w:p w14:paraId="49C29516" w14:textId="081AEF6D" w:rsidR="0085439C" w:rsidRPr="0031624B" w:rsidRDefault="0085439C" w:rsidP="00854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24B">
              <w:rPr>
                <w:rFonts w:ascii="Times New Roman" w:hAnsi="Times New Roman" w:cs="Times New Roman"/>
                <w:sz w:val="24"/>
                <w:szCs w:val="24"/>
              </w:rPr>
              <w:t xml:space="preserve">Показник розраховується шляхом визначення </w:t>
            </w:r>
            <w:r w:rsidR="00B6595A">
              <w:rPr>
                <w:rFonts w:ascii="Times New Roman" w:hAnsi="Times New Roman" w:cs="Times New Roman"/>
                <w:sz w:val="24"/>
                <w:szCs w:val="24"/>
              </w:rPr>
              <w:t>відсотка</w:t>
            </w:r>
            <w:r w:rsidRPr="0031624B">
              <w:rPr>
                <w:rFonts w:ascii="Times New Roman" w:hAnsi="Times New Roman" w:cs="Times New Roman"/>
                <w:sz w:val="24"/>
                <w:szCs w:val="24"/>
              </w:rPr>
              <w:t xml:space="preserve"> кількості «електронних»/«паперових» </w:t>
            </w:r>
            <w:r w:rsidRPr="003B333F">
              <w:rPr>
                <w:rFonts w:ascii="Times New Roman" w:hAnsi="Times New Roman" w:cs="Times New Roman"/>
                <w:sz w:val="24"/>
                <w:szCs w:val="24"/>
              </w:rPr>
              <w:t>договорів, що розпочали дію</w:t>
            </w:r>
            <w:r w:rsidRPr="003162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595A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r w:rsidRPr="0031624B">
              <w:rPr>
                <w:rFonts w:ascii="Times New Roman" w:hAnsi="Times New Roman" w:cs="Times New Roman"/>
                <w:sz w:val="24"/>
                <w:szCs w:val="24"/>
              </w:rPr>
              <w:t xml:space="preserve"> загальної кількості </w:t>
            </w:r>
            <w:r w:rsidRPr="003B333F">
              <w:rPr>
                <w:rFonts w:ascii="Times New Roman" w:hAnsi="Times New Roman" w:cs="Times New Roman"/>
                <w:sz w:val="24"/>
                <w:szCs w:val="24"/>
              </w:rPr>
              <w:t>договорів, що розпочали дію</w:t>
            </w:r>
            <w:r w:rsidR="00B6595A">
              <w:rPr>
                <w:rFonts w:ascii="Times New Roman" w:hAnsi="Times New Roman" w:cs="Times New Roman"/>
                <w:sz w:val="24"/>
                <w:szCs w:val="24"/>
              </w:rPr>
              <w:t xml:space="preserve"> за обраний період</w:t>
            </w:r>
            <w:r w:rsidR="00716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E20DEA" w14:textId="121F4D41" w:rsidR="0085439C" w:rsidRPr="00B961CC" w:rsidRDefault="0085439C" w:rsidP="00854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загальному показнику за всіма СК враховуються показники тільки за тими СК, що в обраний період були членами МТСБУ.</w:t>
            </w:r>
          </w:p>
        </w:tc>
        <w:tc>
          <w:tcPr>
            <w:tcW w:w="1412" w:type="dxa"/>
          </w:tcPr>
          <w:p w14:paraId="423CB7DA" w14:textId="725FBCAC" w:rsidR="0085439C" w:rsidRDefault="0085439C" w:rsidP="002D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416" w:type="dxa"/>
          </w:tcPr>
          <w:p w14:paraId="2E660B20" w14:textId="5DD5FBE8" w:rsidR="0085439C" w:rsidRDefault="0085439C" w:rsidP="002D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85439C" w:rsidRPr="003B333F" w14:paraId="7CE0EDC3" w14:textId="77777777" w:rsidTr="008D6555">
        <w:trPr>
          <w:trHeight w:val="2222"/>
        </w:trPr>
        <w:tc>
          <w:tcPr>
            <w:tcW w:w="506" w:type="dxa"/>
          </w:tcPr>
          <w:p w14:paraId="065D70C3" w14:textId="77777777" w:rsidR="0085439C" w:rsidRPr="00B961CC" w:rsidRDefault="0085439C" w:rsidP="0085439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14:paraId="49BBA1C9" w14:textId="15014088" w:rsidR="0085439C" w:rsidRPr="00B961CC" w:rsidRDefault="0085439C" w:rsidP="00854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C1">
              <w:rPr>
                <w:rFonts w:ascii="Times New Roman" w:hAnsi="Times New Roman" w:cs="Times New Roman"/>
                <w:sz w:val="24"/>
                <w:szCs w:val="24"/>
              </w:rPr>
              <w:t>Сума нарахованих страхових премій</w:t>
            </w:r>
            <w:r w:rsidR="006014D0">
              <w:rPr>
                <w:rFonts w:ascii="Times New Roman" w:hAnsi="Times New Roman" w:cs="Times New Roman"/>
                <w:sz w:val="24"/>
                <w:szCs w:val="24"/>
              </w:rPr>
              <w:t xml:space="preserve"> за договорами</w:t>
            </w:r>
            <w:r w:rsidR="00D43D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14D0">
              <w:rPr>
                <w:rFonts w:ascii="Times New Roman" w:hAnsi="Times New Roman" w:cs="Times New Roman"/>
                <w:sz w:val="24"/>
                <w:szCs w:val="24"/>
              </w:rPr>
              <w:t xml:space="preserve"> що розпочали дію</w:t>
            </w:r>
            <w:r w:rsidRPr="003025C1">
              <w:rPr>
                <w:rFonts w:ascii="Times New Roman" w:hAnsi="Times New Roman" w:cs="Times New Roman"/>
                <w:sz w:val="24"/>
                <w:szCs w:val="24"/>
              </w:rPr>
              <w:t>, грн</w:t>
            </w:r>
            <w:r w:rsidR="00D43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9" w:type="dxa"/>
          </w:tcPr>
          <w:p w14:paraId="3683D723" w14:textId="37FA508F" w:rsidR="00B6595A" w:rsidRDefault="0085439C" w:rsidP="00854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Показник відображає суму нарахованих премії за договорами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внутрішнього страхування, 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що розпочали свою дію</w:t>
            </w:r>
            <w:r w:rsidR="00601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95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6014D0">
              <w:rPr>
                <w:rFonts w:ascii="Times New Roman" w:hAnsi="Times New Roman" w:cs="Times New Roman"/>
                <w:sz w:val="24"/>
                <w:szCs w:val="24"/>
              </w:rPr>
              <w:t xml:space="preserve"> обраний</w:t>
            </w:r>
            <w:r w:rsidR="00B6595A">
              <w:rPr>
                <w:rFonts w:ascii="Times New Roman" w:hAnsi="Times New Roman" w:cs="Times New Roman"/>
                <w:sz w:val="24"/>
                <w:szCs w:val="24"/>
              </w:rPr>
              <w:t xml:space="preserve"> період.</w:t>
            </w:r>
          </w:p>
          <w:p w14:paraId="1E1D80F0" w14:textId="18F140B7" w:rsidR="0085439C" w:rsidRDefault="0085439C" w:rsidP="00854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Вибір даних за сумою нарахованих премій здійснюється по даті вступу в дію договорів (рік/місяць), які входять в обраний період, за який відображаються данні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дашборді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5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AE0DF3" w14:textId="0EDEA64E" w:rsidR="0085439C" w:rsidRDefault="0085439C" w:rsidP="00854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Суми нарахованих страхових премій</w:t>
            </w:r>
            <w:r w:rsidR="006014D0">
              <w:rPr>
                <w:rFonts w:ascii="Times New Roman" w:hAnsi="Times New Roman" w:cs="Times New Roman"/>
                <w:sz w:val="24"/>
                <w:szCs w:val="24"/>
              </w:rPr>
              <w:t xml:space="preserve"> за договорами, що розпочали дію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розподіляються на страхові премії за «електронними» та «паперовими» договорами. </w:t>
            </w:r>
          </w:p>
          <w:p w14:paraId="502332BB" w14:textId="77777777" w:rsidR="0085439C" w:rsidRDefault="0085439C" w:rsidP="00854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загальному показнику за всіма СК враховуються показники тільки за тими СК, що в обраний період були членами МТСБУ.</w:t>
            </w:r>
          </w:p>
          <w:p w14:paraId="3E3A77A8" w14:textId="0961F847" w:rsidR="00B6595A" w:rsidRPr="00B961CC" w:rsidRDefault="00B6595A" w:rsidP="00854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Показник відображає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данні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, що на момент перегляду візуалізації </w:t>
            </w:r>
            <w:r w:rsidR="009251A6"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завантажені 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до БД</w:t>
            </w:r>
            <w:r w:rsidR="009251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33F">
              <w:rPr>
                <w:rFonts w:ascii="Times New Roman" w:hAnsi="Times New Roman" w:cs="Times New Roman"/>
                <w:sz w:val="24"/>
                <w:szCs w:val="24"/>
              </w:rPr>
              <w:t>з якої беруться дані для дашбордів</w:t>
            </w:r>
            <w:r w:rsidR="0060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</w:tcPr>
          <w:p w14:paraId="640D477D" w14:textId="487F2726" w:rsidR="0085439C" w:rsidRDefault="0085439C" w:rsidP="002D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416" w:type="dxa"/>
          </w:tcPr>
          <w:p w14:paraId="6C7C6FFB" w14:textId="510DC2A2" w:rsidR="0085439C" w:rsidRDefault="0085439C" w:rsidP="002D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6014D0" w:rsidRPr="003B333F" w14:paraId="5275A21B" w14:textId="77777777" w:rsidTr="008D6555">
        <w:trPr>
          <w:trHeight w:val="640"/>
        </w:trPr>
        <w:tc>
          <w:tcPr>
            <w:tcW w:w="506" w:type="dxa"/>
          </w:tcPr>
          <w:p w14:paraId="07B8D064" w14:textId="77777777" w:rsidR="006014D0" w:rsidRPr="00B961CC" w:rsidRDefault="006014D0" w:rsidP="006014D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14:paraId="28188F5A" w14:textId="442AA28D" w:rsidR="002A6F4A" w:rsidRDefault="002A6F4A" w:rsidP="002A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C1">
              <w:rPr>
                <w:rFonts w:ascii="Times New Roman" w:hAnsi="Times New Roman" w:cs="Times New Roman"/>
                <w:sz w:val="24"/>
                <w:szCs w:val="24"/>
              </w:rPr>
              <w:t>Сума нарахованих страхових премій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договорами, що розпочали дію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зменшена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суму повернень за достроково припиненими договорами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грн.</w:t>
            </w:r>
          </w:p>
          <w:p w14:paraId="581F4FB0" w14:textId="47AF3888" w:rsidR="006014D0" w:rsidRPr="003025C1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9" w:type="dxa"/>
          </w:tcPr>
          <w:p w14:paraId="66EC9570" w14:textId="18732AA2" w:rsidR="006014D0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Показник відображає суму нарахованих премії за договорами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внутрішнього страхування, 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що розпочали свою дію,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виключенням повернутих страхових премій за цей період.</w:t>
            </w:r>
          </w:p>
          <w:p w14:paraId="1D2DC854" w14:textId="5D6A0D13" w:rsidR="006014D0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Вибір даних за сумою нарахованих премій здійснюється по даті вступу в дію договорів (рік/місяць), які входять в обраний період, за який відображаються данні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дашборді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Від суми нарахованих страхових премій за договорами, що розпочали дію, віднімається сума повернутих страхових премій за договорами</w:t>
            </w:r>
            <w:r w:rsidR="00D43DCF">
              <w:rPr>
                <w:rFonts w:ascii="Times New Roman" w:hAnsi="Times New Roman" w:cs="Times New Roman"/>
                <w:sz w:val="24"/>
                <w:szCs w:val="24"/>
              </w:rPr>
              <w:t>, що достроково припинені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Вибір даних за сумою повернутих премій здійснюється по даті </w:t>
            </w:r>
            <w:r w:rsidR="00D43DCF">
              <w:rPr>
                <w:rFonts w:ascii="Times New Roman" w:hAnsi="Times New Roman" w:cs="Times New Roman"/>
                <w:sz w:val="24"/>
                <w:szCs w:val="24"/>
              </w:rPr>
              <w:t>дострокового припин</w:t>
            </w:r>
            <w:r w:rsidR="00F425E2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="00D43DCF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договорів (рік/місяць), які входять в обраний період, за який відображаються данні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дашборді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6AF272" w14:textId="77777777" w:rsidR="006014D0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Суми «чистих» нарахованих страхових премій розподіляються на страхові премії за «електронними» та «паперовими» договорами. </w:t>
            </w:r>
          </w:p>
          <w:p w14:paraId="21E3AE2C" w14:textId="77777777" w:rsidR="006014D0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загальному показнику за всіма СК враховуються показники тільки за тими СК, що в обраний період були членами МТСБУ.</w:t>
            </w:r>
          </w:p>
          <w:p w14:paraId="4440F817" w14:textId="236E0425" w:rsidR="006014D0" w:rsidRPr="00B961CC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Показник відображає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данні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, що на момент перегляду візуалізації завантажені до БД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33F">
              <w:rPr>
                <w:rFonts w:ascii="Times New Roman" w:hAnsi="Times New Roman" w:cs="Times New Roman"/>
                <w:sz w:val="24"/>
                <w:szCs w:val="24"/>
              </w:rPr>
              <w:t>з якої беруться дані для даш</w:t>
            </w:r>
            <w:r w:rsidR="00F425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B333F">
              <w:rPr>
                <w:rFonts w:ascii="Times New Roman" w:hAnsi="Times New Roman" w:cs="Times New Roman"/>
                <w:sz w:val="24"/>
                <w:szCs w:val="24"/>
              </w:rPr>
              <w:t>ордів</w:t>
            </w:r>
            <w:r w:rsidR="00F42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</w:tcPr>
          <w:p w14:paraId="0B7A6C71" w14:textId="7EC9349C" w:rsidR="006014D0" w:rsidRDefault="00F425E2" w:rsidP="0060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416" w:type="dxa"/>
          </w:tcPr>
          <w:p w14:paraId="729ED59B" w14:textId="5A09D449" w:rsidR="006014D0" w:rsidRDefault="00F425E2" w:rsidP="0060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6014D0" w:rsidRPr="003B333F" w14:paraId="1B5483E1" w14:textId="77777777" w:rsidTr="008D6555">
        <w:trPr>
          <w:trHeight w:val="1827"/>
        </w:trPr>
        <w:tc>
          <w:tcPr>
            <w:tcW w:w="506" w:type="dxa"/>
          </w:tcPr>
          <w:p w14:paraId="5C0E3C29" w14:textId="77777777" w:rsidR="006014D0" w:rsidRPr="00B961CC" w:rsidRDefault="006014D0" w:rsidP="006014D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14:paraId="2926E782" w14:textId="0F214105" w:rsidR="006014D0" w:rsidRPr="00B961CC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C1">
              <w:rPr>
                <w:rFonts w:ascii="Times New Roman" w:hAnsi="Times New Roman" w:cs="Times New Roman"/>
                <w:sz w:val="24"/>
                <w:szCs w:val="24"/>
              </w:rPr>
              <w:t xml:space="preserve">Питома вага суми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страхових</w:t>
            </w:r>
            <w:r w:rsidRPr="003025C1">
              <w:rPr>
                <w:rFonts w:ascii="Times New Roman" w:hAnsi="Times New Roman" w:cs="Times New Roman"/>
                <w:sz w:val="24"/>
                <w:szCs w:val="24"/>
              </w:rPr>
              <w:t xml:space="preserve"> премій за паперовими та електронними договорами</w:t>
            </w:r>
            <w:r w:rsidR="00D84B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6F4A">
              <w:rPr>
                <w:rFonts w:ascii="Times New Roman" w:hAnsi="Times New Roman" w:cs="Times New Roman"/>
                <w:sz w:val="24"/>
                <w:szCs w:val="24"/>
              </w:rPr>
              <w:t>що розпочали дію, зменшена на суму повернень за достроково припиненими договорами</w:t>
            </w:r>
            <w:r w:rsidR="002A6F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84BA8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9079" w:type="dxa"/>
          </w:tcPr>
          <w:p w14:paraId="346CE0D7" w14:textId="3BF90518" w:rsidR="006014D0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961">
              <w:rPr>
                <w:rFonts w:ascii="Times New Roman" w:hAnsi="Times New Roman" w:cs="Times New Roman"/>
                <w:sz w:val="24"/>
                <w:szCs w:val="24"/>
              </w:rPr>
              <w:t xml:space="preserve">Показник розраховується шляхом визначення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відсотка</w:t>
            </w:r>
            <w:r w:rsidRPr="00CC3961">
              <w:rPr>
                <w:rFonts w:ascii="Times New Roman" w:hAnsi="Times New Roman" w:cs="Times New Roman"/>
                <w:sz w:val="24"/>
                <w:szCs w:val="24"/>
              </w:rPr>
              <w:t xml:space="preserve"> «чистих» нарахованих премій за  «електронним»/«паперовими» </w:t>
            </w:r>
            <w:r w:rsidRPr="003B333F">
              <w:rPr>
                <w:rFonts w:ascii="Times New Roman" w:hAnsi="Times New Roman" w:cs="Times New Roman"/>
                <w:sz w:val="24"/>
                <w:szCs w:val="24"/>
              </w:rPr>
              <w:t>договорами, що розпочали дію</w:t>
            </w:r>
            <w:r w:rsidRPr="00CC39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r w:rsidRPr="00CC3961">
              <w:rPr>
                <w:rFonts w:ascii="Times New Roman" w:hAnsi="Times New Roman" w:cs="Times New Roman"/>
                <w:sz w:val="24"/>
                <w:szCs w:val="24"/>
              </w:rPr>
              <w:t xml:space="preserve"> загальної суми «чистих» нарахованих премій за всіма договорами, що розпочали свою дію.</w:t>
            </w:r>
          </w:p>
          <w:p w14:paraId="548C2E4F" w14:textId="532942A8" w:rsidR="006014D0" w:rsidRPr="00B961CC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загальному показнику за всіма СК враховуються показники тільки за тими СК, що в обраний період були членами МТСБУ.</w:t>
            </w:r>
          </w:p>
        </w:tc>
        <w:tc>
          <w:tcPr>
            <w:tcW w:w="1412" w:type="dxa"/>
          </w:tcPr>
          <w:p w14:paraId="20D95C80" w14:textId="4D17B767" w:rsidR="006014D0" w:rsidRDefault="006014D0" w:rsidP="0060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416" w:type="dxa"/>
          </w:tcPr>
          <w:p w14:paraId="4DBE5F22" w14:textId="21E3BB1E" w:rsidR="006014D0" w:rsidRDefault="006014D0" w:rsidP="0060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6014D0" w:rsidRPr="003B333F" w14:paraId="20A2684E" w14:textId="77777777" w:rsidTr="008D6555">
        <w:trPr>
          <w:trHeight w:val="2222"/>
        </w:trPr>
        <w:tc>
          <w:tcPr>
            <w:tcW w:w="506" w:type="dxa"/>
          </w:tcPr>
          <w:p w14:paraId="14541121" w14:textId="77777777" w:rsidR="006014D0" w:rsidRPr="00B961CC" w:rsidRDefault="006014D0" w:rsidP="006014D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14:paraId="7821CFEA" w14:textId="74508704" w:rsidR="006014D0" w:rsidRPr="00B961CC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Кількість сплачених вимог, шт.</w:t>
            </w:r>
          </w:p>
        </w:tc>
        <w:tc>
          <w:tcPr>
            <w:tcW w:w="9079" w:type="dxa"/>
          </w:tcPr>
          <w:p w14:paraId="505890B7" w14:textId="3A823EE9" w:rsidR="006014D0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Показник відображає кількість сплачених вимог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договорами внутрішнього страхування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, що завантажені на момент перегляду візуалізації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до БД </w:t>
            </w:r>
            <w:r w:rsidRPr="003B333F">
              <w:rPr>
                <w:rFonts w:ascii="Times New Roman" w:hAnsi="Times New Roman" w:cs="Times New Roman"/>
                <w:sz w:val="24"/>
                <w:szCs w:val="24"/>
              </w:rPr>
              <w:t>з якої беруться дані для дашбордів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84BA8">
              <w:rPr>
                <w:rFonts w:ascii="Times New Roman" w:hAnsi="Times New Roman" w:cs="Times New Roman"/>
                <w:sz w:val="24"/>
                <w:szCs w:val="24"/>
              </w:rPr>
              <w:t xml:space="preserve">До показника включаються вимоги, які повністю сплачено страховиком. </w:t>
            </w:r>
          </w:p>
          <w:p w14:paraId="6B70FEFE" w14:textId="5B454521" w:rsidR="006014D0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Вибір даних здійснюється по даті останньої виплати за вимогою (рік/місяць), які входять в обраний період, за який відображаються данні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дашборді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96B333" w14:textId="77777777" w:rsidR="006014D0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загальному показнику за всіма СК враховуються показники тільки за тими СК, що в обраний період були членами МТСБУ.</w:t>
            </w:r>
          </w:p>
          <w:p w14:paraId="4432354D" w14:textId="31B4514E" w:rsidR="006014D0" w:rsidRPr="00B961CC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сплачених вимог </w:t>
            </w:r>
            <w:r w:rsidRPr="0031624B">
              <w:rPr>
                <w:rFonts w:ascii="Times New Roman" w:hAnsi="Times New Roman" w:cs="Times New Roman"/>
                <w:sz w:val="24"/>
                <w:szCs w:val="24"/>
              </w:rPr>
              <w:t xml:space="preserve">розподіляються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вимоги, сплачені 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з використанням «</w:t>
            </w:r>
            <w:proofErr w:type="spellStart"/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європротоколу</w:t>
            </w:r>
            <w:proofErr w:type="spellEnd"/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 вимоги, сплачені на загальних підставах</w:t>
            </w:r>
            <w:r w:rsidRPr="003162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</w:tcPr>
          <w:p w14:paraId="55339706" w14:textId="1BAAE1EC" w:rsidR="006014D0" w:rsidRDefault="006014D0" w:rsidP="0060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416" w:type="dxa"/>
          </w:tcPr>
          <w:p w14:paraId="3735A908" w14:textId="05A9D2A3" w:rsidR="006014D0" w:rsidRDefault="006014D0" w:rsidP="0060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6014D0" w:rsidRPr="003B333F" w14:paraId="4DA26D90" w14:textId="2C723E76" w:rsidTr="008D6555">
        <w:trPr>
          <w:trHeight w:val="1626"/>
        </w:trPr>
        <w:tc>
          <w:tcPr>
            <w:tcW w:w="506" w:type="dxa"/>
          </w:tcPr>
          <w:p w14:paraId="71874546" w14:textId="77777777" w:rsidR="006014D0" w:rsidRPr="00B961CC" w:rsidRDefault="006014D0" w:rsidP="006014D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14:paraId="6D798F01" w14:textId="314C62C4" w:rsidR="006014D0" w:rsidRPr="00B961CC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C1">
              <w:rPr>
                <w:rFonts w:ascii="Times New Roman" w:hAnsi="Times New Roman" w:cs="Times New Roman"/>
                <w:sz w:val="24"/>
                <w:szCs w:val="24"/>
              </w:rPr>
              <w:t>Питома вага кількості сплачених вимог з використанням «</w:t>
            </w:r>
            <w:proofErr w:type="spellStart"/>
            <w:r w:rsidRPr="003025C1">
              <w:rPr>
                <w:rFonts w:ascii="Times New Roman" w:hAnsi="Times New Roman" w:cs="Times New Roman"/>
                <w:sz w:val="24"/>
                <w:szCs w:val="24"/>
              </w:rPr>
              <w:t>європротоколу</w:t>
            </w:r>
            <w:proofErr w:type="spellEnd"/>
            <w:r w:rsidRPr="003025C1">
              <w:rPr>
                <w:rFonts w:ascii="Times New Roman" w:hAnsi="Times New Roman" w:cs="Times New Roman"/>
                <w:sz w:val="24"/>
                <w:szCs w:val="24"/>
              </w:rPr>
              <w:t>» та на загальних підставах</w:t>
            </w:r>
            <w:r w:rsidR="00A46F40">
              <w:rPr>
                <w:rFonts w:ascii="Times New Roman" w:hAnsi="Times New Roman" w:cs="Times New Roman"/>
                <w:sz w:val="24"/>
                <w:szCs w:val="24"/>
              </w:rPr>
              <w:t>,%</w:t>
            </w:r>
          </w:p>
        </w:tc>
        <w:tc>
          <w:tcPr>
            <w:tcW w:w="9079" w:type="dxa"/>
          </w:tcPr>
          <w:p w14:paraId="2D0900B2" w14:textId="6F495C45" w:rsidR="006014D0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Показник розраховується шляхом визначення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відсотка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 кількість вимог, що сплачені з використанням «</w:t>
            </w:r>
            <w:proofErr w:type="spellStart"/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європротоколу</w:t>
            </w:r>
            <w:proofErr w:type="spellEnd"/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/на загальних підставах від загальної кількості сплачених вимог за той самий період.</w:t>
            </w:r>
          </w:p>
          <w:p w14:paraId="0FBBA4F6" w14:textId="77777777" w:rsidR="006014D0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загальному показнику за всіма СК враховуються показники тільки за тими СК, що в обраний період були членами МТСБУ.</w:t>
            </w:r>
          </w:p>
          <w:p w14:paraId="290205BA" w14:textId="05623135" w:rsidR="006014D0" w:rsidRPr="00B961CC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Показник відображає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данні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, що завантажені на момент перегляду візуалізації до БД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33F">
              <w:rPr>
                <w:rFonts w:ascii="Times New Roman" w:hAnsi="Times New Roman" w:cs="Times New Roman"/>
                <w:sz w:val="24"/>
                <w:szCs w:val="24"/>
              </w:rPr>
              <w:t>з якої беруться дані для дашбордів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</w:tcPr>
          <w:p w14:paraId="35D30976" w14:textId="602EA77A" w:rsidR="006014D0" w:rsidRPr="00B961CC" w:rsidRDefault="006014D0" w:rsidP="0060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416" w:type="dxa"/>
          </w:tcPr>
          <w:p w14:paraId="7C1ED07A" w14:textId="78DBDA1E" w:rsidR="006014D0" w:rsidRPr="00B961CC" w:rsidRDefault="006014D0" w:rsidP="0060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6014D0" w:rsidRPr="003B333F" w14:paraId="750E953B" w14:textId="7B1AFF03" w:rsidTr="008D6555">
        <w:tc>
          <w:tcPr>
            <w:tcW w:w="506" w:type="dxa"/>
          </w:tcPr>
          <w:p w14:paraId="6B52019B" w14:textId="77777777" w:rsidR="006014D0" w:rsidRPr="00B961CC" w:rsidRDefault="006014D0" w:rsidP="006014D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14:paraId="44147E69" w14:textId="6379E5CD" w:rsidR="006014D0" w:rsidRPr="00B961CC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Сума сплачена за вимогами, грн.</w:t>
            </w:r>
          </w:p>
        </w:tc>
        <w:tc>
          <w:tcPr>
            <w:tcW w:w="9079" w:type="dxa"/>
          </w:tcPr>
          <w:p w14:paraId="0D544717" w14:textId="7F49DF99" w:rsidR="00A46F40" w:rsidRDefault="006014D0" w:rsidP="00A46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Показник відображає суму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сплаченого 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страхового відшкодування за вимогами, що завантажені на момент перегляду візуалізації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до БД </w:t>
            </w:r>
            <w:r w:rsidRPr="003B333F">
              <w:rPr>
                <w:rFonts w:ascii="Times New Roman" w:hAnsi="Times New Roman" w:cs="Times New Roman"/>
                <w:sz w:val="24"/>
                <w:szCs w:val="24"/>
              </w:rPr>
              <w:t>з якої беруться дані для дашбордів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46F40">
              <w:rPr>
                <w:rFonts w:ascii="Times New Roman" w:hAnsi="Times New Roman" w:cs="Times New Roman"/>
                <w:sz w:val="24"/>
                <w:szCs w:val="24"/>
              </w:rPr>
              <w:t xml:space="preserve">До показника включаються вимоги, які повністю сплачено страховиком. </w:t>
            </w:r>
          </w:p>
          <w:p w14:paraId="2BF845B5" w14:textId="269FD1F5" w:rsidR="006014D0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Вибір даних здійснюється по даті виплати (рік/місяць), які входять в обраний період, за який відображаються данні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дашборді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96F696" w14:textId="77777777" w:rsidR="006014D0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загальному показнику за всіма СК враховуються показники тільки за тими СК, що в обраний період були членами МТСБУ.</w:t>
            </w:r>
          </w:p>
          <w:p w14:paraId="4973A85B" w14:textId="5013E9E4" w:rsidR="006014D0" w:rsidRPr="00B961CC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Сума сплачена за вимогами </w:t>
            </w:r>
            <w:r w:rsidRPr="0031624B">
              <w:rPr>
                <w:rFonts w:ascii="Times New Roman" w:hAnsi="Times New Roman" w:cs="Times New Roman"/>
                <w:sz w:val="24"/>
                <w:szCs w:val="24"/>
              </w:rPr>
              <w:t xml:space="preserve">розподіляються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вимоги, сплачені 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з використанням «</w:t>
            </w:r>
            <w:proofErr w:type="spellStart"/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європротоколу</w:t>
            </w:r>
            <w:proofErr w:type="spellEnd"/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вимоги, сплачені на загальних підставах</w:t>
            </w:r>
            <w:r w:rsidRPr="003162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</w:tcPr>
          <w:p w14:paraId="55B61F82" w14:textId="6B80814F" w:rsidR="006014D0" w:rsidRPr="00B961CC" w:rsidRDefault="006014D0" w:rsidP="0060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</w:t>
            </w:r>
          </w:p>
        </w:tc>
        <w:tc>
          <w:tcPr>
            <w:tcW w:w="1416" w:type="dxa"/>
          </w:tcPr>
          <w:p w14:paraId="46E39D29" w14:textId="3BED9136" w:rsidR="006014D0" w:rsidRPr="00B961CC" w:rsidRDefault="006014D0" w:rsidP="0060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6014D0" w:rsidRPr="005F3319" w14:paraId="09628462" w14:textId="1A2E9FCA" w:rsidTr="008D6555">
        <w:tc>
          <w:tcPr>
            <w:tcW w:w="506" w:type="dxa"/>
          </w:tcPr>
          <w:p w14:paraId="4B7FE108" w14:textId="77777777" w:rsidR="006014D0" w:rsidRPr="00B961CC" w:rsidRDefault="006014D0" w:rsidP="006014D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14:paraId="03E8DFA1" w14:textId="015351D3" w:rsidR="006014D0" w:rsidRPr="00B961CC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C1">
              <w:rPr>
                <w:rFonts w:ascii="Times New Roman" w:hAnsi="Times New Roman" w:cs="Times New Roman"/>
                <w:sz w:val="24"/>
                <w:szCs w:val="24"/>
              </w:rPr>
              <w:t>Питома вага суми сплачених вимог з використанням «</w:t>
            </w:r>
            <w:proofErr w:type="spellStart"/>
            <w:r w:rsidRPr="003025C1">
              <w:rPr>
                <w:rFonts w:ascii="Times New Roman" w:hAnsi="Times New Roman" w:cs="Times New Roman"/>
                <w:sz w:val="24"/>
                <w:szCs w:val="24"/>
              </w:rPr>
              <w:t>європротоколу</w:t>
            </w:r>
            <w:proofErr w:type="spellEnd"/>
            <w:r w:rsidRPr="003025C1">
              <w:rPr>
                <w:rFonts w:ascii="Times New Roman" w:hAnsi="Times New Roman" w:cs="Times New Roman"/>
                <w:sz w:val="24"/>
                <w:szCs w:val="24"/>
              </w:rPr>
              <w:t>» та на загальних підставах</w:t>
            </w:r>
          </w:p>
        </w:tc>
        <w:tc>
          <w:tcPr>
            <w:tcW w:w="9079" w:type="dxa"/>
          </w:tcPr>
          <w:p w14:paraId="0E0F7DE6" w14:textId="2114B47E" w:rsidR="006014D0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Показник розраховується шляхом визначення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відсотка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суми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 вимог, що сплачені з використанням «</w:t>
            </w:r>
            <w:proofErr w:type="spellStart"/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європротоколу</w:t>
            </w:r>
            <w:proofErr w:type="spellEnd"/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/на загальних підставах від загальної суми сплаченої за вимогами за той самий період.</w:t>
            </w:r>
          </w:p>
          <w:p w14:paraId="22E734CF" w14:textId="77777777" w:rsidR="006014D0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загальному показнику за всіма СК враховуються показники тільки за тими СК, що в обраний період були членами МТСБУ.</w:t>
            </w:r>
          </w:p>
          <w:p w14:paraId="46CEDF8A" w14:textId="1AE1A72B" w:rsidR="006014D0" w:rsidRPr="00B961CC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Показник відображає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данні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, що завантажені на момент перегляду візуалізації до БД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33F">
              <w:rPr>
                <w:rFonts w:ascii="Times New Roman" w:hAnsi="Times New Roman" w:cs="Times New Roman"/>
                <w:sz w:val="24"/>
                <w:szCs w:val="24"/>
              </w:rPr>
              <w:t>з якої беруться дані для дашбордів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</w:tcPr>
          <w:p w14:paraId="09B4C9B9" w14:textId="4A03DDCA" w:rsidR="006014D0" w:rsidRPr="00B961CC" w:rsidRDefault="006014D0" w:rsidP="0060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416" w:type="dxa"/>
          </w:tcPr>
          <w:p w14:paraId="77AB80AA" w14:textId="11606228" w:rsidR="006014D0" w:rsidRPr="00B961CC" w:rsidRDefault="006014D0" w:rsidP="0060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6014D0" w:rsidRPr="005F3319" w14:paraId="36BC79C2" w14:textId="41F2BC8F" w:rsidTr="008D6555">
        <w:tc>
          <w:tcPr>
            <w:tcW w:w="506" w:type="dxa"/>
          </w:tcPr>
          <w:p w14:paraId="237D4F83" w14:textId="77777777" w:rsidR="006014D0" w:rsidRPr="00B961CC" w:rsidRDefault="006014D0" w:rsidP="006014D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14:paraId="19601901" w14:textId="6E5A9E37" w:rsidR="006014D0" w:rsidRPr="00B961CC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сплачених вимог за строками виплати за шкоду, заподіяну майну</w:t>
            </w:r>
          </w:p>
        </w:tc>
        <w:tc>
          <w:tcPr>
            <w:tcW w:w="9079" w:type="dxa"/>
          </w:tcPr>
          <w:p w14:paraId="25748EC1" w14:textId="67691E08" w:rsidR="006014D0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Враховуються повністю сплачені вимоги за 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ризиком «Шкода майну»,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виплати за якими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 потрапля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ють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 в діапазони по кількості днів, що минули від дати ДТП до дати</w:t>
            </w:r>
            <w:r w:rsidR="009A5823">
              <w:rPr>
                <w:rFonts w:ascii="Times New Roman" w:hAnsi="Times New Roman" w:cs="Times New Roman"/>
                <w:sz w:val="24"/>
                <w:szCs w:val="24"/>
              </w:rPr>
              <w:t xml:space="preserve"> остаточної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 виплати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саме:</w:t>
            </w:r>
          </w:p>
          <w:p w14:paraId="039555D0" w14:textId="77777777" w:rsidR="006014D0" w:rsidRPr="004924DC" w:rsidRDefault="006014D0" w:rsidP="006014D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4DC">
              <w:rPr>
                <w:rFonts w:ascii="Times New Roman" w:hAnsi="Times New Roman" w:cs="Times New Roman"/>
                <w:sz w:val="24"/>
                <w:szCs w:val="24"/>
              </w:rPr>
              <w:t xml:space="preserve">до 60 днів; </w:t>
            </w:r>
          </w:p>
          <w:p w14:paraId="1309BBEC" w14:textId="6A00EF14" w:rsidR="006014D0" w:rsidRPr="004924DC" w:rsidRDefault="006014D0" w:rsidP="006014D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4DC">
              <w:rPr>
                <w:rFonts w:ascii="Times New Roman" w:hAnsi="Times New Roman" w:cs="Times New Roman"/>
                <w:sz w:val="24"/>
                <w:szCs w:val="24"/>
              </w:rPr>
              <w:t xml:space="preserve">від 61 до 90 днів; </w:t>
            </w:r>
          </w:p>
          <w:p w14:paraId="777AF86A" w14:textId="2E29D32F" w:rsidR="006014D0" w:rsidRPr="004924DC" w:rsidRDefault="006014D0" w:rsidP="006014D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4DC">
              <w:rPr>
                <w:rFonts w:ascii="Times New Roman" w:hAnsi="Times New Roman" w:cs="Times New Roman"/>
                <w:sz w:val="24"/>
                <w:szCs w:val="24"/>
              </w:rPr>
              <w:t xml:space="preserve">від 91 до 120 днів; </w:t>
            </w:r>
          </w:p>
          <w:p w14:paraId="4398F6BD" w14:textId="284F8D9B" w:rsidR="006014D0" w:rsidRPr="004924DC" w:rsidRDefault="006014D0" w:rsidP="006014D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4DC">
              <w:rPr>
                <w:rFonts w:ascii="Times New Roman" w:hAnsi="Times New Roman" w:cs="Times New Roman"/>
                <w:sz w:val="24"/>
                <w:szCs w:val="24"/>
              </w:rPr>
              <w:t xml:space="preserve">від 121 до 365 днів; </w:t>
            </w:r>
          </w:p>
          <w:p w14:paraId="6F8621A5" w14:textId="6358377F" w:rsidR="006014D0" w:rsidRPr="004924DC" w:rsidRDefault="006014D0" w:rsidP="006014D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4DC">
              <w:rPr>
                <w:rFonts w:ascii="Times New Roman" w:hAnsi="Times New Roman" w:cs="Times New Roman"/>
                <w:sz w:val="24"/>
                <w:szCs w:val="24"/>
              </w:rPr>
              <w:t>від 366 днів.</w:t>
            </w:r>
          </w:p>
          <w:p w14:paraId="42F98743" w14:textId="77777777" w:rsidR="006014D0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93267" w14:textId="77777777" w:rsidR="006014D0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загальному показнику за всіма СК враховуються показники тільки за тими СК, що в обраний період були членами МТСБУ.</w:t>
            </w:r>
          </w:p>
          <w:p w14:paraId="5C07EA83" w14:textId="2B4F4F5E" w:rsidR="006014D0" w:rsidRPr="00B961CC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Показник відображає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данні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, що завантажені на момент перегляду візуалізації до БД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33F">
              <w:rPr>
                <w:rFonts w:ascii="Times New Roman" w:hAnsi="Times New Roman" w:cs="Times New Roman"/>
                <w:sz w:val="24"/>
                <w:szCs w:val="24"/>
              </w:rPr>
              <w:t>з якої беруться дані для дашбордів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</w:tcPr>
          <w:p w14:paraId="18389451" w14:textId="202EA2A7" w:rsidR="006014D0" w:rsidRPr="00B961CC" w:rsidRDefault="006014D0" w:rsidP="0060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416" w:type="dxa"/>
          </w:tcPr>
          <w:p w14:paraId="4D9E9D26" w14:textId="3822A12F" w:rsidR="006014D0" w:rsidRPr="00B961CC" w:rsidRDefault="006014D0" w:rsidP="0060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6014D0" w:rsidRPr="003B333F" w14:paraId="492A0D6D" w14:textId="61521FF7" w:rsidTr="008D6555">
        <w:tc>
          <w:tcPr>
            <w:tcW w:w="506" w:type="dxa"/>
          </w:tcPr>
          <w:p w14:paraId="7797DCF7" w14:textId="77777777" w:rsidR="006014D0" w:rsidRPr="00B961CC" w:rsidRDefault="006014D0" w:rsidP="006014D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14:paraId="7280DF0D" w14:textId="7976A5E6" w:rsidR="006014D0" w:rsidRPr="005F3319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C1">
              <w:rPr>
                <w:rFonts w:ascii="Times New Roman" w:hAnsi="Times New Roman" w:cs="Times New Roman"/>
                <w:sz w:val="24"/>
                <w:szCs w:val="24"/>
              </w:rPr>
              <w:t>Питома вага</w:t>
            </w:r>
            <w:r w:rsidRPr="005F3319">
              <w:rPr>
                <w:rFonts w:ascii="Times New Roman" w:hAnsi="Times New Roman" w:cs="Times New Roman"/>
                <w:sz w:val="24"/>
                <w:szCs w:val="24"/>
              </w:rPr>
              <w:t xml:space="preserve"> кільк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ості</w:t>
            </w:r>
            <w:r w:rsidRPr="005F3319">
              <w:rPr>
                <w:rFonts w:ascii="Times New Roman" w:hAnsi="Times New Roman" w:cs="Times New Roman"/>
                <w:sz w:val="24"/>
                <w:szCs w:val="24"/>
              </w:rPr>
              <w:t xml:space="preserve"> сплачених вимог за строками виплати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 загальної кількості вимог </w:t>
            </w:r>
            <w:r w:rsidRPr="005F3319">
              <w:rPr>
                <w:rFonts w:ascii="Times New Roman" w:hAnsi="Times New Roman" w:cs="Times New Roman"/>
                <w:sz w:val="24"/>
                <w:szCs w:val="24"/>
              </w:rPr>
              <w:t>за шкоду, заподіяну майну</w:t>
            </w:r>
          </w:p>
          <w:p w14:paraId="54F9E165" w14:textId="77777777" w:rsidR="006014D0" w:rsidRPr="005F3319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4F99A" w14:textId="1F6B15C5" w:rsidR="006014D0" w:rsidRPr="00B961CC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9" w:type="dxa"/>
          </w:tcPr>
          <w:p w14:paraId="007E59E8" w14:textId="7A62E5E6" w:rsidR="006014D0" w:rsidRPr="005F3319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Відсоток кількість сплачених вимог за строками виплати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(що зазначені нижче)</w:t>
            </w:r>
            <w:r w:rsidRPr="005F3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 загальної кількості вимог </w:t>
            </w:r>
            <w:r w:rsidRPr="005F3319">
              <w:rPr>
                <w:rFonts w:ascii="Times New Roman" w:hAnsi="Times New Roman" w:cs="Times New Roman"/>
                <w:sz w:val="24"/>
                <w:szCs w:val="24"/>
              </w:rPr>
              <w:t>за шкоду, заподіяну майну</w:t>
            </w:r>
            <w:r w:rsidR="009A5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9CCF0E" w14:textId="595DD36B" w:rsidR="006014D0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Строки виплати, які враховуються:</w:t>
            </w:r>
          </w:p>
          <w:p w14:paraId="67C024B9" w14:textId="77777777" w:rsidR="006014D0" w:rsidRPr="005F3319" w:rsidRDefault="006014D0" w:rsidP="006014D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19">
              <w:rPr>
                <w:rFonts w:ascii="Times New Roman" w:hAnsi="Times New Roman" w:cs="Times New Roman"/>
                <w:sz w:val="24"/>
                <w:szCs w:val="24"/>
              </w:rPr>
              <w:t xml:space="preserve">до 60 днів; </w:t>
            </w:r>
          </w:p>
          <w:p w14:paraId="514DC8D7" w14:textId="1A735B9D" w:rsidR="006014D0" w:rsidRPr="005F3319" w:rsidRDefault="006014D0" w:rsidP="006014D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19">
              <w:rPr>
                <w:rFonts w:ascii="Times New Roman" w:hAnsi="Times New Roman" w:cs="Times New Roman"/>
                <w:sz w:val="24"/>
                <w:szCs w:val="24"/>
              </w:rPr>
              <w:t xml:space="preserve">від 61 до 90 днів; </w:t>
            </w:r>
          </w:p>
          <w:p w14:paraId="301EAEB5" w14:textId="568E4B15" w:rsidR="006014D0" w:rsidRPr="005F3319" w:rsidRDefault="006014D0" w:rsidP="006014D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від 91 до 120 днів; </w:t>
            </w:r>
          </w:p>
          <w:p w14:paraId="24211DFD" w14:textId="2BE3558C" w:rsidR="006014D0" w:rsidRPr="005F3319" w:rsidRDefault="006014D0" w:rsidP="006014D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19">
              <w:rPr>
                <w:rFonts w:ascii="Times New Roman" w:hAnsi="Times New Roman" w:cs="Times New Roman"/>
                <w:sz w:val="24"/>
                <w:szCs w:val="24"/>
              </w:rPr>
              <w:t xml:space="preserve">від 121 до 365 днів; </w:t>
            </w:r>
          </w:p>
          <w:p w14:paraId="25882A49" w14:textId="4B55AB6F" w:rsidR="006014D0" w:rsidRPr="005F3319" w:rsidRDefault="006014D0" w:rsidP="006014D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19">
              <w:rPr>
                <w:rFonts w:ascii="Times New Roman" w:hAnsi="Times New Roman" w:cs="Times New Roman"/>
                <w:sz w:val="24"/>
                <w:szCs w:val="24"/>
              </w:rPr>
              <w:t>від 366 днів.</w:t>
            </w:r>
          </w:p>
          <w:p w14:paraId="16A4BE6D" w14:textId="1CA49A99" w:rsidR="006014D0" w:rsidRPr="00B961CC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Показник відображає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данні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, що завантажені на момент перегляду візуалізації до БД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33F">
              <w:rPr>
                <w:rFonts w:ascii="Times New Roman" w:hAnsi="Times New Roman" w:cs="Times New Roman"/>
                <w:sz w:val="24"/>
                <w:szCs w:val="24"/>
              </w:rPr>
              <w:t>з якої беруться дані для дашбордів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</w:tcPr>
          <w:p w14:paraId="26A12032" w14:textId="7B11187C" w:rsidR="006014D0" w:rsidRPr="00B961CC" w:rsidRDefault="006014D0" w:rsidP="0060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</w:t>
            </w:r>
          </w:p>
        </w:tc>
        <w:tc>
          <w:tcPr>
            <w:tcW w:w="1416" w:type="dxa"/>
          </w:tcPr>
          <w:p w14:paraId="0E5CF35C" w14:textId="59E54AA0" w:rsidR="006014D0" w:rsidRPr="00B961CC" w:rsidRDefault="006014D0" w:rsidP="0060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6014D0" w:rsidRPr="003B333F" w14:paraId="43C7676A" w14:textId="189D5D71" w:rsidTr="008D6555">
        <w:tc>
          <w:tcPr>
            <w:tcW w:w="506" w:type="dxa"/>
          </w:tcPr>
          <w:p w14:paraId="6D51E06B" w14:textId="77777777" w:rsidR="006014D0" w:rsidRPr="00B961CC" w:rsidRDefault="006014D0" w:rsidP="006014D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14:paraId="791B5032" w14:textId="4C6CC673" w:rsidR="006014D0" w:rsidRPr="00B961CC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сплачених вимог за строками виплати за шкоду, заподіяну </w:t>
            </w:r>
            <w:r w:rsidRPr="003B333F">
              <w:rPr>
                <w:rFonts w:ascii="Times New Roman" w:hAnsi="Times New Roman" w:cs="Times New Roman"/>
                <w:sz w:val="24"/>
                <w:szCs w:val="24"/>
              </w:rPr>
              <w:t>життю/здоров’ю</w:t>
            </w:r>
          </w:p>
        </w:tc>
        <w:tc>
          <w:tcPr>
            <w:tcW w:w="9079" w:type="dxa"/>
          </w:tcPr>
          <w:p w14:paraId="215561E2" w14:textId="6EEC4D6B" w:rsidR="006014D0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Враховуються повністю сплачені вимоги за 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ризиком «Шкода життю та здоров’ю»,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виплати за якими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 потрапля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ють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 в діапазони по кількості днів, що минули від дати ДТП до дати </w:t>
            </w:r>
            <w:r w:rsidR="003359E5">
              <w:rPr>
                <w:rFonts w:ascii="Times New Roman" w:hAnsi="Times New Roman" w:cs="Times New Roman"/>
                <w:sz w:val="24"/>
                <w:szCs w:val="24"/>
              </w:rPr>
              <w:t xml:space="preserve">остаточної 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виплати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саме:</w:t>
            </w:r>
          </w:p>
          <w:p w14:paraId="6398D578" w14:textId="46F2220C" w:rsidR="006014D0" w:rsidRPr="003B333F" w:rsidRDefault="006014D0" w:rsidP="006014D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3F">
              <w:rPr>
                <w:rFonts w:ascii="Times New Roman" w:hAnsi="Times New Roman" w:cs="Times New Roman"/>
                <w:sz w:val="24"/>
                <w:szCs w:val="24"/>
              </w:rPr>
              <w:t>до 546 днів (до 1,5 років);</w:t>
            </w:r>
          </w:p>
          <w:p w14:paraId="79424989" w14:textId="5211122E" w:rsidR="006014D0" w:rsidRPr="003B333F" w:rsidRDefault="006014D0" w:rsidP="006014D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3F">
              <w:rPr>
                <w:rFonts w:ascii="Times New Roman" w:hAnsi="Times New Roman" w:cs="Times New Roman"/>
                <w:sz w:val="24"/>
                <w:szCs w:val="24"/>
              </w:rPr>
              <w:t>від 547 до 730 днів (від 1,5 до 2 років);</w:t>
            </w:r>
          </w:p>
          <w:p w14:paraId="7F0C1104" w14:textId="73F35728" w:rsidR="006014D0" w:rsidRPr="003B333F" w:rsidRDefault="006014D0" w:rsidP="006014D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3F">
              <w:rPr>
                <w:rFonts w:ascii="Times New Roman" w:hAnsi="Times New Roman" w:cs="Times New Roman"/>
                <w:sz w:val="24"/>
                <w:szCs w:val="24"/>
              </w:rPr>
              <w:t>від 731 до 1095 днів (від 2 до 3 років);</w:t>
            </w:r>
          </w:p>
          <w:p w14:paraId="0CF5B739" w14:textId="5963A1AD" w:rsidR="006014D0" w:rsidRPr="003B333F" w:rsidRDefault="006014D0" w:rsidP="006014D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3F">
              <w:rPr>
                <w:rFonts w:ascii="Times New Roman" w:hAnsi="Times New Roman" w:cs="Times New Roman"/>
                <w:sz w:val="24"/>
                <w:szCs w:val="24"/>
              </w:rPr>
              <w:t>від 1096 до 1460 днів (від 3 до 4 років);</w:t>
            </w:r>
          </w:p>
          <w:p w14:paraId="4D4F3F54" w14:textId="5E3E4555" w:rsidR="006014D0" w:rsidRDefault="006014D0" w:rsidP="006014D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3F">
              <w:rPr>
                <w:rFonts w:ascii="Times New Roman" w:hAnsi="Times New Roman" w:cs="Times New Roman"/>
                <w:sz w:val="24"/>
                <w:szCs w:val="24"/>
              </w:rPr>
              <w:t>від 1461 днів (від 4 років).</w:t>
            </w:r>
          </w:p>
          <w:p w14:paraId="7452C6C0" w14:textId="77777777" w:rsidR="006014D0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1FAC4" w14:textId="77777777" w:rsidR="006014D0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загальному показнику за всіма СК враховуються показники тільки за тими СК, що в обраний період були членами МТСБУ.</w:t>
            </w:r>
          </w:p>
          <w:p w14:paraId="69CBA009" w14:textId="45DDFBE8" w:rsidR="006014D0" w:rsidRPr="00B961CC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Показник відображає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данні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, що завантажені на момент перегляду візуалізації до БД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33F">
              <w:rPr>
                <w:rFonts w:ascii="Times New Roman" w:hAnsi="Times New Roman" w:cs="Times New Roman"/>
                <w:sz w:val="24"/>
                <w:szCs w:val="24"/>
              </w:rPr>
              <w:t>з якої беруться дані для дашбордів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</w:tcPr>
          <w:p w14:paraId="68166F0C" w14:textId="662D71FE" w:rsidR="006014D0" w:rsidRPr="00B961CC" w:rsidRDefault="006014D0" w:rsidP="0060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416" w:type="dxa"/>
          </w:tcPr>
          <w:p w14:paraId="3FAF05A3" w14:textId="787B0CEA" w:rsidR="006014D0" w:rsidRPr="00B961CC" w:rsidRDefault="006014D0" w:rsidP="0060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6014D0" w:rsidRPr="005F3319" w14:paraId="314D8508" w14:textId="71E686C4" w:rsidTr="008D6555">
        <w:tc>
          <w:tcPr>
            <w:tcW w:w="506" w:type="dxa"/>
          </w:tcPr>
          <w:p w14:paraId="53D727CC" w14:textId="77777777" w:rsidR="006014D0" w:rsidRPr="00B961CC" w:rsidRDefault="006014D0" w:rsidP="006014D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14:paraId="7AABA2AA" w14:textId="274FAEC8" w:rsidR="006014D0" w:rsidRPr="005F3319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C1">
              <w:rPr>
                <w:rFonts w:ascii="Times New Roman" w:hAnsi="Times New Roman" w:cs="Times New Roman"/>
                <w:sz w:val="24"/>
                <w:szCs w:val="24"/>
              </w:rPr>
              <w:t>Питома вага</w:t>
            </w:r>
            <w:r w:rsidRPr="005F3319">
              <w:rPr>
                <w:rFonts w:ascii="Times New Roman" w:hAnsi="Times New Roman" w:cs="Times New Roman"/>
                <w:sz w:val="24"/>
                <w:szCs w:val="24"/>
              </w:rPr>
              <w:t xml:space="preserve"> кільк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ості</w:t>
            </w:r>
            <w:r w:rsidRPr="005F3319">
              <w:rPr>
                <w:rFonts w:ascii="Times New Roman" w:hAnsi="Times New Roman" w:cs="Times New Roman"/>
                <w:sz w:val="24"/>
                <w:szCs w:val="24"/>
              </w:rPr>
              <w:t xml:space="preserve"> сплачених вимог за строками виплати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 загальної кількості  вимог </w:t>
            </w:r>
            <w:r w:rsidRPr="005F3319">
              <w:rPr>
                <w:rFonts w:ascii="Times New Roman" w:hAnsi="Times New Roman" w:cs="Times New Roman"/>
                <w:sz w:val="24"/>
                <w:szCs w:val="24"/>
              </w:rPr>
              <w:t xml:space="preserve">за шкоду, заподіяну </w:t>
            </w:r>
            <w:r w:rsidRPr="003B333F">
              <w:rPr>
                <w:rFonts w:ascii="Times New Roman" w:hAnsi="Times New Roman" w:cs="Times New Roman"/>
                <w:sz w:val="24"/>
                <w:szCs w:val="24"/>
              </w:rPr>
              <w:t>життю/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33F">
              <w:rPr>
                <w:rFonts w:ascii="Times New Roman" w:hAnsi="Times New Roman" w:cs="Times New Roman"/>
                <w:sz w:val="24"/>
                <w:szCs w:val="24"/>
              </w:rPr>
              <w:t>здоров’ю</w:t>
            </w:r>
          </w:p>
          <w:p w14:paraId="258C44AD" w14:textId="77777777" w:rsidR="006014D0" w:rsidRPr="005F3319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E923B" w14:textId="6ECB26A6" w:rsidR="006014D0" w:rsidRPr="00B961CC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9" w:type="dxa"/>
          </w:tcPr>
          <w:p w14:paraId="11337080" w14:textId="36F10739" w:rsidR="006014D0" w:rsidRPr="005F3319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19">
              <w:rPr>
                <w:rFonts w:ascii="Times New Roman" w:hAnsi="Times New Roman" w:cs="Times New Roman"/>
                <w:sz w:val="24"/>
                <w:szCs w:val="24"/>
              </w:rPr>
              <w:t>Відсоток кількість сплачених вимог за строками виплати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(що зазначені нижче)</w:t>
            </w:r>
            <w:r w:rsidRPr="005F3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 загальної кількості вимог </w:t>
            </w:r>
            <w:r w:rsidRPr="005F3319">
              <w:rPr>
                <w:rFonts w:ascii="Times New Roman" w:hAnsi="Times New Roman" w:cs="Times New Roman"/>
                <w:sz w:val="24"/>
                <w:szCs w:val="24"/>
              </w:rPr>
              <w:t xml:space="preserve">за шкоду, заподіяну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життю/здоров’ю.</w:t>
            </w:r>
          </w:p>
          <w:p w14:paraId="7D6F9532" w14:textId="5B377E68" w:rsidR="006014D0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Строки виплати, які враховуються:</w:t>
            </w:r>
          </w:p>
          <w:p w14:paraId="3F151B0D" w14:textId="77777777" w:rsidR="006014D0" w:rsidRPr="003B333F" w:rsidRDefault="006014D0" w:rsidP="006014D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3F">
              <w:rPr>
                <w:rFonts w:ascii="Times New Roman" w:hAnsi="Times New Roman" w:cs="Times New Roman"/>
                <w:sz w:val="24"/>
                <w:szCs w:val="24"/>
              </w:rPr>
              <w:t>до 546 днів (до 1,5 років);</w:t>
            </w:r>
          </w:p>
          <w:p w14:paraId="27BB99D7" w14:textId="77777777" w:rsidR="006014D0" w:rsidRPr="003B333F" w:rsidRDefault="006014D0" w:rsidP="006014D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3F">
              <w:rPr>
                <w:rFonts w:ascii="Times New Roman" w:hAnsi="Times New Roman" w:cs="Times New Roman"/>
                <w:sz w:val="24"/>
                <w:szCs w:val="24"/>
              </w:rPr>
              <w:t>від 547 до 730 днів (від 1,5 до 2 років);</w:t>
            </w:r>
          </w:p>
          <w:p w14:paraId="630997F5" w14:textId="77777777" w:rsidR="006014D0" w:rsidRPr="003B333F" w:rsidRDefault="006014D0" w:rsidP="006014D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3F">
              <w:rPr>
                <w:rFonts w:ascii="Times New Roman" w:hAnsi="Times New Roman" w:cs="Times New Roman"/>
                <w:sz w:val="24"/>
                <w:szCs w:val="24"/>
              </w:rPr>
              <w:t>від 731 до 1095 днів (від 2 до 3 років);</w:t>
            </w:r>
          </w:p>
          <w:p w14:paraId="02177D75" w14:textId="77777777" w:rsidR="006014D0" w:rsidRPr="003B333F" w:rsidRDefault="006014D0" w:rsidP="006014D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3F">
              <w:rPr>
                <w:rFonts w:ascii="Times New Roman" w:hAnsi="Times New Roman" w:cs="Times New Roman"/>
                <w:sz w:val="24"/>
                <w:szCs w:val="24"/>
              </w:rPr>
              <w:t>від 1096 до 1460 днів (від 3 до 4 років);</w:t>
            </w:r>
          </w:p>
          <w:p w14:paraId="5A3490BF" w14:textId="77777777" w:rsidR="006014D0" w:rsidRDefault="006014D0" w:rsidP="006014D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3F">
              <w:rPr>
                <w:rFonts w:ascii="Times New Roman" w:hAnsi="Times New Roman" w:cs="Times New Roman"/>
                <w:sz w:val="24"/>
                <w:szCs w:val="24"/>
              </w:rPr>
              <w:t>від 1461 днів (від 4 років).</w:t>
            </w:r>
          </w:p>
          <w:p w14:paraId="48D5132D" w14:textId="7015D0CA" w:rsidR="006014D0" w:rsidRPr="00B961CC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Показник відображає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данні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, що завантажені на момент перегляду візуалізації до БД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33F">
              <w:rPr>
                <w:rFonts w:ascii="Times New Roman" w:hAnsi="Times New Roman" w:cs="Times New Roman"/>
                <w:sz w:val="24"/>
                <w:szCs w:val="24"/>
              </w:rPr>
              <w:t>з якої беруться дані для дашбордів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</w:tcPr>
          <w:p w14:paraId="33CCF342" w14:textId="204E696E" w:rsidR="006014D0" w:rsidRDefault="006014D0" w:rsidP="0060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416" w:type="dxa"/>
          </w:tcPr>
          <w:p w14:paraId="589CEDBD" w14:textId="7B2F6BF6" w:rsidR="006014D0" w:rsidRDefault="006014D0" w:rsidP="0060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6014D0" w:rsidRPr="003B333F" w14:paraId="78003B94" w14:textId="55E33BA5" w:rsidTr="008D6555">
        <w:tc>
          <w:tcPr>
            <w:tcW w:w="506" w:type="dxa"/>
          </w:tcPr>
          <w:p w14:paraId="05F55C07" w14:textId="77777777" w:rsidR="006014D0" w:rsidRPr="00B961CC" w:rsidRDefault="006014D0" w:rsidP="006014D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14:paraId="43231390" w14:textId="402793C9" w:rsidR="006014D0" w:rsidRPr="00B961CC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C1">
              <w:rPr>
                <w:rFonts w:ascii="Times New Roman" w:hAnsi="Times New Roman" w:cs="Times New Roman"/>
                <w:sz w:val="24"/>
                <w:szCs w:val="24"/>
              </w:rPr>
              <w:t>Кількість скарг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 страхувальників та потерпілих</w:t>
            </w:r>
            <w:r w:rsidRPr="003025C1">
              <w:rPr>
                <w:rFonts w:ascii="Times New Roman" w:hAnsi="Times New Roman" w:cs="Times New Roman"/>
                <w:sz w:val="24"/>
                <w:szCs w:val="24"/>
              </w:rPr>
              <w:t>, шт</w:t>
            </w:r>
            <w:r w:rsidR="00387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9" w:type="dxa"/>
          </w:tcPr>
          <w:p w14:paraId="29DA4F6B" w14:textId="1BBAE90C" w:rsidR="006014D0" w:rsidRPr="003025C1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Показник відображає кількість скарг від потерпілих та страхувальників, що надійшли до МТСБУ на дії/бездіяльність </w:t>
            </w:r>
            <w:r w:rsidR="003873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траховика.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Враховуються скарги за договорами внутрішнього страхування за спеціалізацією «</w:t>
            </w:r>
            <w:r w:rsidRPr="003025C1">
              <w:rPr>
                <w:rFonts w:ascii="Times New Roman" w:hAnsi="Times New Roman" w:cs="Times New Roman"/>
                <w:sz w:val="24"/>
                <w:szCs w:val="24"/>
              </w:rPr>
              <w:t>ОСЦПВВНТЗ» за категоріями:</w:t>
            </w:r>
          </w:p>
          <w:p w14:paraId="37259749" w14:textId="77777777" w:rsidR="006014D0" w:rsidRPr="003025C1" w:rsidRDefault="006014D0" w:rsidP="006014D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Зволікання у виплаті страхового відшкодування;</w:t>
            </w:r>
          </w:p>
          <w:p w14:paraId="38299613" w14:textId="77777777" w:rsidR="006014D0" w:rsidRPr="003025C1" w:rsidRDefault="006014D0" w:rsidP="006014D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C1">
              <w:rPr>
                <w:rFonts w:ascii="Times New Roman" w:hAnsi="Times New Roman" w:cs="Times New Roman"/>
                <w:sz w:val="24"/>
                <w:szCs w:val="24"/>
              </w:rPr>
              <w:t>Відмова у виплаті страхового відшкодування;</w:t>
            </w:r>
          </w:p>
          <w:p w14:paraId="2E6F267A" w14:textId="77777777" w:rsidR="006014D0" w:rsidRDefault="006014D0" w:rsidP="006014D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C1">
              <w:rPr>
                <w:rFonts w:ascii="Times New Roman" w:hAnsi="Times New Roman" w:cs="Times New Roman"/>
                <w:sz w:val="24"/>
                <w:szCs w:val="24"/>
              </w:rPr>
              <w:t>Незгода з розміром страхового відшкодування.</w:t>
            </w:r>
          </w:p>
          <w:p w14:paraId="34A30E4A" w14:textId="08F2FAB2" w:rsidR="00387347" w:rsidRPr="00387347" w:rsidRDefault="00387347" w:rsidP="00387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розрахунку не враховуються скарги, що надійшли повторно в обраному періоді.</w:t>
            </w:r>
          </w:p>
          <w:p w14:paraId="2FFDC1EF" w14:textId="0696B012" w:rsidR="006014D0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Вибір даних здійснюється по даті </w:t>
            </w:r>
            <w:r w:rsidR="00387347">
              <w:rPr>
                <w:rFonts w:ascii="Times New Roman" w:hAnsi="Times New Roman" w:cs="Times New Roman"/>
                <w:sz w:val="24"/>
                <w:szCs w:val="24"/>
              </w:rPr>
              <w:t>реєстрації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скарги</w:t>
            </w:r>
            <w:r w:rsidR="00387347">
              <w:rPr>
                <w:rFonts w:ascii="Times New Roman" w:hAnsi="Times New Roman" w:cs="Times New Roman"/>
                <w:sz w:val="24"/>
                <w:szCs w:val="24"/>
              </w:rPr>
              <w:t xml:space="preserve"> в МТСБУ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7347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входять в обраний період, за який відображаються данні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дашборді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22CC30" w14:textId="3505AF03" w:rsidR="006014D0" w:rsidRPr="00B961CC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Показник відображає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данні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, що завантажені на момент перегляду візуалізації до БД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33F">
              <w:rPr>
                <w:rFonts w:ascii="Times New Roman" w:hAnsi="Times New Roman" w:cs="Times New Roman"/>
                <w:sz w:val="24"/>
                <w:szCs w:val="24"/>
              </w:rPr>
              <w:t>з якої беруться дані для дашбордів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</w:tcPr>
          <w:p w14:paraId="09741D3C" w14:textId="7E073C1A" w:rsidR="006014D0" w:rsidRPr="00B961CC" w:rsidRDefault="006014D0" w:rsidP="0060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</w:t>
            </w:r>
          </w:p>
        </w:tc>
        <w:tc>
          <w:tcPr>
            <w:tcW w:w="1416" w:type="dxa"/>
          </w:tcPr>
          <w:p w14:paraId="469236AD" w14:textId="7699B7F0" w:rsidR="006014D0" w:rsidRPr="00B961CC" w:rsidRDefault="006014D0" w:rsidP="0060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6014D0" w:rsidRPr="00432060" w14:paraId="75BB7766" w14:textId="5EB02115" w:rsidTr="008D6555">
        <w:tc>
          <w:tcPr>
            <w:tcW w:w="506" w:type="dxa"/>
          </w:tcPr>
          <w:p w14:paraId="3BFA9D6B" w14:textId="77777777" w:rsidR="006014D0" w:rsidRPr="00B961CC" w:rsidRDefault="006014D0" w:rsidP="006014D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14:paraId="1875E711" w14:textId="72316D08" w:rsidR="006014D0" w:rsidRPr="005F3319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C1">
              <w:rPr>
                <w:rFonts w:ascii="Times New Roman" w:hAnsi="Times New Roman" w:cs="Times New Roman"/>
                <w:sz w:val="24"/>
                <w:szCs w:val="24"/>
              </w:rPr>
              <w:t>Співвідношення кількості скарг до кількості сплачених вимог, %</w:t>
            </w:r>
          </w:p>
        </w:tc>
        <w:tc>
          <w:tcPr>
            <w:tcW w:w="9079" w:type="dxa"/>
          </w:tcPr>
          <w:p w14:paraId="4D1EBD52" w14:textId="7D454DFA" w:rsidR="006014D0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Показник відображає співвідношення між кількістю</w:t>
            </w:r>
            <w:r w:rsidR="00594D53">
              <w:rPr>
                <w:rFonts w:ascii="Times New Roman" w:hAnsi="Times New Roman" w:cs="Times New Roman"/>
                <w:sz w:val="24"/>
                <w:szCs w:val="24"/>
              </w:rPr>
              <w:t xml:space="preserve"> зареєстрованих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 скарг та кількістю </w:t>
            </w:r>
            <w:r w:rsidR="00594D53">
              <w:rPr>
                <w:rFonts w:ascii="Times New Roman" w:hAnsi="Times New Roman" w:cs="Times New Roman"/>
                <w:sz w:val="24"/>
                <w:szCs w:val="24"/>
              </w:rPr>
              <w:t xml:space="preserve"> повністю 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сплачених вимог.</w:t>
            </w:r>
          </w:p>
          <w:p w14:paraId="10B47364" w14:textId="2F51DF36" w:rsidR="006014D0" w:rsidRPr="00B961CC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Показник відображає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данні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, що завантажені на момент перегляду візуалізації до БД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33F">
              <w:rPr>
                <w:rFonts w:ascii="Times New Roman" w:hAnsi="Times New Roman" w:cs="Times New Roman"/>
                <w:sz w:val="24"/>
                <w:szCs w:val="24"/>
              </w:rPr>
              <w:t>з якої беруться дані для дашбордів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</w:tcPr>
          <w:p w14:paraId="25F20550" w14:textId="24B16525" w:rsidR="006014D0" w:rsidRDefault="006014D0" w:rsidP="0060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416" w:type="dxa"/>
          </w:tcPr>
          <w:p w14:paraId="50C28A01" w14:textId="4481F743" w:rsidR="006014D0" w:rsidRDefault="006014D0" w:rsidP="0060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</w:tbl>
    <w:p w14:paraId="45EF1B21" w14:textId="77777777" w:rsidR="008119EE" w:rsidRDefault="008119EE"/>
    <w:p w14:paraId="6D338B84" w14:textId="1F61FC22" w:rsidR="00CE2ABA" w:rsidRDefault="00CE2ABA" w:rsidP="00CE2ABA">
      <w:pPr>
        <w:pStyle w:val="1"/>
        <w:numPr>
          <w:ilvl w:val="0"/>
          <w:numId w:val="5"/>
        </w:numPr>
      </w:pPr>
      <w:r w:rsidRPr="00CE2ABA">
        <w:t>Показники виплат, що здійснює МТСБУ за договорами внутрішнього страхування</w:t>
      </w:r>
    </w:p>
    <w:tbl>
      <w:tblPr>
        <w:tblStyle w:val="af"/>
        <w:tblW w:w="15275" w:type="dxa"/>
        <w:tblInd w:w="-147" w:type="dxa"/>
        <w:tblLook w:val="04A0" w:firstRow="1" w:lastRow="0" w:firstColumn="1" w:lastColumn="0" w:noHBand="0" w:noVBand="1"/>
      </w:tblPr>
      <w:tblGrid>
        <w:gridCol w:w="506"/>
        <w:gridCol w:w="2471"/>
        <w:gridCol w:w="9639"/>
        <w:gridCol w:w="1384"/>
        <w:gridCol w:w="1275"/>
      </w:tblGrid>
      <w:tr w:rsidR="00CE2ABA" w:rsidRPr="003B333F" w14:paraId="1EEA1889" w14:textId="3658CDF8" w:rsidTr="008D6555">
        <w:trPr>
          <w:tblHeader/>
        </w:trPr>
        <w:tc>
          <w:tcPr>
            <w:tcW w:w="506" w:type="dxa"/>
            <w:vMerge w:val="restart"/>
            <w:shd w:val="clear" w:color="auto" w:fill="D9D9D9" w:themeFill="background1" w:themeFillShade="D9"/>
          </w:tcPr>
          <w:p w14:paraId="5AF47B90" w14:textId="77777777" w:rsidR="00CE2ABA" w:rsidRPr="00B961CC" w:rsidRDefault="00CE2ABA" w:rsidP="00CE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471" w:type="dxa"/>
            <w:vMerge w:val="restart"/>
            <w:shd w:val="clear" w:color="auto" w:fill="D9D9D9" w:themeFill="background1" w:themeFillShade="D9"/>
          </w:tcPr>
          <w:p w14:paraId="70352CE2" w14:textId="77777777" w:rsidR="00CE2ABA" w:rsidRPr="00B961CC" w:rsidRDefault="00CE2ABA" w:rsidP="00CE2A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ПОКАЗНИК</w:t>
            </w:r>
          </w:p>
        </w:tc>
        <w:tc>
          <w:tcPr>
            <w:tcW w:w="9639" w:type="dxa"/>
            <w:vMerge w:val="restart"/>
            <w:shd w:val="clear" w:color="auto" w:fill="D9D9D9" w:themeFill="background1" w:themeFillShade="D9"/>
          </w:tcPr>
          <w:p w14:paraId="4307D7AE" w14:textId="77777777" w:rsidR="00CE2ABA" w:rsidRPr="00B961CC" w:rsidRDefault="00CE2ABA" w:rsidP="00CE2A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</w:t>
            </w:r>
          </w:p>
        </w:tc>
        <w:tc>
          <w:tcPr>
            <w:tcW w:w="2659" w:type="dxa"/>
            <w:gridSpan w:val="2"/>
            <w:shd w:val="clear" w:color="auto" w:fill="D9D9D9" w:themeFill="background1" w:themeFillShade="D9"/>
          </w:tcPr>
          <w:p w14:paraId="163EB5BE" w14:textId="19DFBE68" w:rsidR="00CE2ABA" w:rsidRPr="00B961CC" w:rsidRDefault="00CE2ABA" w:rsidP="00CE2A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Відображення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дашборді</w:t>
            </w:r>
            <w:proofErr w:type="spellEnd"/>
          </w:p>
        </w:tc>
      </w:tr>
      <w:tr w:rsidR="00CE2ABA" w:rsidRPr="003B333F" w14:paraId="07FD76D0" w14:textId="77777777" w:rsidTr="008D6555">
        <w:trPr>
          <w:tblHeader/>
        </w:trPr>
        <w:tc>
          <w:tcPr>
            <w:tcW w:w="506" w:type="dxa"/>
            <w:vMerge/>
            <w:shd w:val="clear" w:color="auto" w:fill="D9D9D9" w:themeFill="background1" w:themeFillShade="D9"/>
          </w:tcPr>
          <w:p w14:paraId="24312FAC" w14:textId="77777777" w:rsidR="00CE2ABA" w:rsidRPr="00B961CC" w:rsidRDefault="00CE2ABA" w:rsidP="00CE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shd w:val="clear" w:color="auto" w:fill="D9D9D9" w:themeFill="background1" w:themeFillShade="D9"/>
          </w:tcPr>
          <w:p w14:paraId="0DFE955B" w14:textId="77777777" w:rsidR="00CE2ABA" w:rsidRPr="00B961CC" w:rsidRDefault="00CE2ABA" w:rsidP="00CE2A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9" w:type="dxa"/>
            <w:vMerge/>
            <w:shd w:val="clear" w:color="auto" w:fill="D9D9D9" w:themeFill="background1" w:themeFillShade="D9"/>
          </w:tcPr>
          <w:p w14:paraId="7AB47C8D" w14:textId="77777777" w:rsidR="00CE2ABA" w:rsidRPr="00B961CC" w:rsidRDefault="00CE2ABA" w:rsidP="00CE2A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</w:tcPr>
          <w:p w14:paraId="791B2BC6" w14:textId="18659A70" w:rsidR="00CE2ABA" w:rsidRPr="00B961CC" w:rsidRDefault="00CE2ABA" w:rsidP="00CE2A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ABA">
              <w:rPr>
                <w:rFonts w:ascii="Times New Roman" w:hAnsi="Times New Roman" w:cs="Times New Roman"/>
                <w:b/>
                <w:bCs/>
              </w:rPr>
              <w:t>У розрізі СК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26B4331" w14:textId="6536181A" w:rsidR="00CE2ABA" w:rsidRPr="00B961CC" w:rsidRDefault="00CE2ABA" w:rsidP="00CE2A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ABA">
              <w:rPr>
                <w:rFonts w:ascii="Times New Roman" w:hAnsi="Times New Roman" w:cs="Times New Roman"/>
                <w:b/>
                <w:bCs/>
              </w:rPr>
              <w:t>Загальний по ринку</w:t>
            </w:r>
          </w:p>
        </w:tc>
      </w:tr>
      <w:tr w:rsidR="00CE2ABA" w:rsidRPr="003B333F" w14:paraId="59A07F37" w14:textId="1A5CB048" w:rsidTr="008D6555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6438D" w14:textId="7F4D4705" w:rsidR="00CE2ABA" w:rsidRPr="00B961CC" w:rsidRDefault="00CE2ABA" w:rsidP="003B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3F2F" w14:textId="3883E61B" w:rsidR="00CE2ABA" w:rsidRPr="003025C1" w:rsidRDefault="00CE2ABA" w:rsidP="00964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C1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виплат, що здійснює МТСБУ </w:t>
            </w:r>
          </w:p>
          <w:p w14:paraId="3F14E509" w14:textId="14BFC36C" w:rsidR="00CE2ABA" w:rsidRPr="00B961CC" w:rsidRDefault="00CE2ABA" w:rsidP="003B333F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7D946" w14:textId="628846A9" w:rsidR="0096473E" w:rsidRDefault="00CE2ABA" w:rsidP="003B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Показник відображає кількість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виплат</w:t>
            </w:r>
            <w:r w:rsidR="008D6555">
              <w:rPr>
                <w:rFonts w:ascii="Times New Roman" w:hAnsi="Times New Roman" w:cs="Times New Roman"/>
                <w:sz w:val="24"/>
                <w:szCs w:val="24"/>
              </w:rPr>
              <w:t xml:space="preserve"> за типом «виплата відшкодування»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473E" w:rsidRPr="003025C1">
              <w:rPr>
                <w:rFonts w:ascii="Times New Roman" w:hAnsi="Times New Roman" w:cs="Times New Roman"/>
                <w:sz w:val="24"/>
                <w:szCs w:val="24"/>
              </w:rPr>
              <w:t xml:space="preserve"> що здійснює МТСБУ</w:t>
            </w:r>
            <w:r w:rsidR="0096473E">
              <w:rPr>
                <w:rFonts w:ascii="Times New Roman" w:hAnsi="Times New Roman" w:cs="Times New Roman"/>
                <w:sz w:val="24"/>
                <w:szCs w:val="24"/>
              </w:rPr>
              <w:t>, та які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73E" w:rsidRPr="00B961CC">
              <w:rPr>
                <w:rFonts w:ascii="Times New Roman" w:hAnsi="Times New Roman" w:cs="Times New Roman"/>
                <w:sz w:val="24"/>
                <w:szCs w:val="24"/>
              </w:rPr>
              <w:t>на момент перегляду візуалізації</w:t>
            </w:r>
            <w:r w:rsidR="00964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були </w:t>
            </w:r>
            <w:r w:rsidR="00CB7B9B" w:rsidRPr="00B961CC">
              <w:rPr>
                <w:rFonts w:ascii="Times New Roman" w:hAnsi="Times New Roman" w:cs="Times New Roman"/>
                <w:sz w:val="24"/>
                <w:szCs w:val="24"/>
              </w:rPr>
              <w:t>завантажені до БД</w:t>
            </w:r>
            <w:r w:rsidR="009647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7B9B"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B9B" w:rsidRPr="003B333F">
              <w:rPr>
                <w:rFonts w:ascii="Times New Roman" w:hAnsi="Times New Roman" w:cs="Times New Roman"/>
                <w:sz w:val="24"/>
                <w:szCs w:val="24"/>
              </w:rPr>
              <w:t xml:space="preserve">з якої беруться дані для </w:t>
            </w:r>
            <w:proofErr w:type="spellStart"/>
            <w:r w:rsidR="00CB7B9B" w:rsidRPr="003B333F">
              <w:rPr>
                <w:rFonts w:ascii="Times New Roman" w:hAnsi="Times New Roman" w:cs="Times New Roman"/>
                <w:sz w:val="24"/>
                <w:szCs w:val="24"/>
              </w:rPr>
              <w:t>дашбордів</w:t>
            </w:r>
            <w:proofErr w:type="spellEnd"/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9CFD841" w14:textId="66F8DF34" w:rsidR="0096473E" w:rsidRDefault="0096473E" w:rsidP="003B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Враховуються виплати за категоріями:</w:t>
            </w:r>
          </w:p>
          <w:p w14:paraId="7243B8AD" w14:textId="495236C5" w:rsidR="00CE2ABA" w:rsidRPr="00CB7B9B" w:rsidRDefault="00CE2ABA" w:rsidP="00CB7B9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9B">
              <w:rPr>
                <w:rFonts w:ascii="Times New Roman" w:hAnsi="Times New Roman" w:cs="Times New Roman"/>
                <w:sz w:val="24"/>
                <w:szCs w:val="24"/>
              </w:rPr>
              <w:t xml:space="preserve">за незастрахованими ТЗ; </w:t>
            </w:r>
          </w:p>
          <w:p w14:paraId="2B10C487" w14:textId="68C166F0" w:rsidR="00CE2ABA" w:rsidRPr="00CB7B9B" w:rsidRDefault="00CE2ABA" w:rsidP="00CB7B9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9B">
              <w:rPr>
                <w:rFonts w:ascii="Times New Roman" w:hAnsi="Times New Roman" w:cs="Times New Roman"/>
                <w:sz w:val="24"/>
                <w:szCs w:val="24"/>
              </w:rPr>
              <w:t xml:space="preserve">за невстановленими ТЗ; </w:t>
            </w:r>
          </w:p>
          <w:p w14:paraId="3D50364D" w14:textId="3BCCF9DA" w:rsidR="00CE2ABA" w:rsidRPr="00CB7B9B" w:rsidRDefault="00CE2ABA" w:rsidP="00CB7B9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9B">
              <w:rPr>
                <w:rFonts w:ascii="Times New Roman" w:hAnsi="Times New Roman" w:cs="Times New Roman"/>
                <w:sz w:val="24"/>
                <w:szCs w:val="24"/>
              </w:rPr>
              <w:t xml:space="preserve">по пільговій категорії; </w:t>
            </w:r>
          </w:p>
          <w:p w14:paraId="493FF7D9" w14:textId="4AFDAEBC" w:rsidR="00CE2ABA" w:rsidRPr="00CB7B9B" w:rsidRDefault="00CE2ABA" w:rsidP="00CB7B9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9B">
              <w:rPr>
                <w:rFonts w:ascii="Times New Roman" w:hAnsi="Times New Roman" w:cs="Times New Roman"/>
                <w:sz w:val="24"/>
                <w:szCs w:val="24"/>
              </w:rPr>
              <w:t xml:space="preserve">за протиправними діями; </w:t>
            </w:r>
          </w:p>
          <w:p w14:paraId="36140B70" w14:textId="24BCF0FF" w:rsidR="00CE2ABA" w:rsidRPr="00CB7B9B" w:rsidRDefault="00CE2ABA" w:rsidP="00CB7B9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9B">
              <w:rPr>
                <w:rFonts w:ascii="Times New Roman" w:hAnsi="Times New Roman" w:cs="Times New Roman"/>
                <w:sz w:val="24"/>
                <w:szCs w:val="24"/>
              </w:rPr>
              <w:t xml:space="preserve">за СК банкрут; </w:t>
            </w:r>
          </w:p>
          <w:p w14:paraId="13FB60C0" w14:textId="77777777" w:rsidR="0096473E" w:rsidRDefault="00CE2ABA" w:rsidP="0096473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9B">
              <w:rPr>
                <w:rFonts w:ascii="Times New Roman" w:hAnsi="Times New Roman" w:cs="Times New Roman"/>
                <w:sz w:val="24"/>
                <w:szCs w:val="24"/>
              </w:rPr>
              <w:t>з повернення базового гарантійного внеску</w:t>
            </w:r>
            <w:r w:rsidR="00964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4AF99C" w14:textId="77777777" w:rsidR="0096473E" w:rsidRDefault="0096473E" w:rsidP="00964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35FD7" w14:textId="743BBF49" w:rsidR="004073AB" w:rsidRPr="0096473E" w:rsidRDefault="0096473E" w:rsidP="0019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Відбір даних здійснюється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датою виплати, яка повинна потрапляти у період, за який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візуалізуються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дані.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6876" w14:textId="52296E05" w:rsidR="00CE2ABA" w:rsidRPr="00B961CC" w:rsidRDefault="00CB7B9B" w:rsidP="002D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5A72" w14:textId="1725AA3A" w:rsidR="00CE2ABA" w:rsidRPr="00B961CC" w:rsidRDefault="00CB7B9B" w:rsidP="002D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CB7B9B" w:rsidRPr="003B333F" w14:paraId="7601F10C" w14:textId="77777777" w:rsidTr="008D6555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CA647" w14:textId="71F432F4" w:rsidR="00CB7B9B" w:rsidRDefault="00CB7B9B" w:rsidP="00CB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3BF45" w14:textId="052ABF95" w:rsidR="00CB7B9B" w:rsidRPr="003025C1" w:rsidRDefault="006826C1" w:rsidP="00CB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Питома вага</w:t>
            </w:r>
            <w:r w:rsidR="00CB7B9B">
              <w:rPr>
                <w:rFonts w:ascii="Times New Roman" w:hAnsi="Times New Roman" w:cs="Times New Roman"/>
                <w:sz w:val="24"/>
                <w:szCs w:val="24"/>
              </w:rPr>
              <w:t xml:space="preserve"> кількості виплат за окремою категорією від загальної кількості виплат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00AEE" w14:textId="3326512D" w:rsidR="00CB7B9B" w:rsidRDefault="0096473E" w:rsidP="00CB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Розраховується</w:t>
            </w:r>
            <w:r w:rsidR="00190C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r w:rsidR="006826C1">
              <w:rPr>
                <w:rFonts w:ascii="Times New Roman" w:hAnsi="Times New Roman" w:cs="Times New Roman"/>
                <w:sz w:val="24"/>
                <w:szCs w:val="24"/>
              </w:rPr>
              <w:t>відсоток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кількості виплат за окремою категорією </w:t>
            </w:r>
            <w:r w:rsidR="006826C1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загальної кількості виплат, що здійснюється МТСБУ.</w:t>
            </w:r>
          </w:p>
          <w:p w14:paraId="2C9D8D1A" w14:textId="5E60B289" w:rsidR="006826C1" w:rsidRDefault="006826C1" w:rsidP="00CB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Розраховується питома вага кількості виплат за категоріями:</w:t>
            </w:r>
          </w:p>
          <w:p w14:paraId="7DCE0FC9" w14:textId="77777777" w:rsidR="006826C1" w:rsidRPr="00CB7B9B" w:rsidRDefault="006826C1" w:rsidP="006826C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9B">
              <w:rPr>
                <w:rFonts w:ascii="Times New Roman" w:hAnsi="Times New Roman" w:cs="Times New Roman"/>
                <w:sz w:val="24"/>
                <w:szCs w:val="24"/>
              </w:rPr>
              <w:t xml:space="preserve">за незастрахованими ТЗ; </w:t>
            </w:r>
          </w:p>
          <w:p w14:paraId="65408CD3" w14:textId="77777777" w:rsidR="006826C1" w:rsidRPr="00CB7B9B" w:rsidRDefault="006826C1" w:rsidP="006826C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9B">
              <w:rPr>
                <w:rFonts w:ascii="Times New Roman" w:hAnsi="Times New Roman" w:cs="Times New Roman"/>
                <w:sz w:val="24"/>
                <w:szCs w:val="24"/>
              </w:rPr>
              <w:t xml:space="preserve">за невстановленими ТЗ; </w:t>
            </w:r>
          </w:p>
          <w:p w14:paraId="78676FC3" w14:textId="77777777" w:rsidR="006826C1" w:rsidRPr="00CB7B9B" w:rsidRDefault="006826C1" w:rsidP="006826C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9B">
              <w:rPr>
                <w:rFonts w:ascii="Times New Roman" w:hAnsi="Times New Roman" w:cs="Times New Roman"/>
                <w:sz w:val="24"/>
                <w:szCs w:val="24"/>
              </w:rPr>
              <w:t xml:space="preserve">по пільговій категорії; </w:t>
            </w:r>
          </w:p>
          <w:p w14:paraId="3337885F" w14:textId="77777777" w:rsidR="006826C1" w:rsidRPr="00CB7B9B" w:rsidRDefault="006826C1" w:rsidP="006826C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9B">
              <w:rPr>
                <w:rFonts w:ascii="Times New Roman" w:hAnsi="Times New Roman" w:cs="Times New Roman"/>
                <w:sz w:val="24"/>
                <w:szCs w:val="24"/>
              </w:rPr>
              <w:t xml:space="preserve">за протиправними діями; </w:t>
            </w:r>
          </w:p>
          <w:p w14:paraId="74777A27" w14:textId="77777777" w:rsidR="006826C1" w:rsidRPr="00CB7B9B" w:rsidRDefault="006826C1" w:rsidP="006826C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9B">
              <w:rPr>
                <w:rFonts w:ascii="Times New Roman" w:hAnsi="Times New Roman" w:cs="Times New Roman"/>
                <w:sz w:val="24"/>
                <w:szCs w:val="24"/>
              </w:rPr>
              <w:t xml:space="preserve">за СК банкрут; </w:t>
            </w:r>
          </w:p>
          <w:p w14:paraId="26961B9C" w14:textId="77777777" w:rsidR="006826C1" w:rsidRDefault="006826C1" w:rsidP="006826C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9B">
              <w:rPr>
                <w:rFonts w:ascii="Times New Roman" w:hAnsi="Times New Roman" w:cs="Times New Roman"/>
                <w:sz w:val="24"/>
                <w:szCs w:val="24"/>
              </w:rPr>
              <w:t>з повернення базового гарантійного внеску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A975F0" w14:textId="77777777" w:rsidR="006826C1" w:rsidRDefault="006826C1" w:rsidP="00CB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1DCBE" w14:textId="77777777" w:rsidR="0096473E" w:rsidRDefault="0096473E" w:rsidP="00CB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Відбір даних здійснюється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датою виплати, яка повинна потрапляти у період, за який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візуалізуються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данні.</w:t>
            </w:r>
          </w:p>
          <w:p w14:paraId="385D9A80" w14:textId="1C1E4A7B" w:rsidR="004073AB" w:rsidRPr="00B961CC" w:rsidRDefault="004073AB" w:rsidP="00CB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Показник відображає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данні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, що завантажені на момент перегляду візуалізації до БД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33F">
              <w:rPr>
                <w:rFonts w:ascii="Times New Roman" w:hAnsi="Times New Roman" w:cs="Times New Roman"/>
                <w:sz w:val="24"/>
                <w:szCs w:val="24"/>
              </w:rPr>
              <w:t xml:space="preserve">з якої беруться дані для </w:t>
            </w:r>
            <w:proofErr w:type="spellStart"/>
            <w:r w:rsidRPr="003B333F">
              <w:rPr>
                <w:rFonts w:ascii="Times New Roman" w:hAnsi="Times New Roman" w:cs="Times New Roman"/>
                <w:sz w:val="24"/>
                <w:szCs w:val="24"/>
              </w:rPr>
              <w:t>дашбордів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F192" w14:textId="5D626ADB" w:rsidR="00CB7B9B" w:rsidRPr="00B961CC" w:rsidRDefault="00CB7B9B" w:rsidP="002D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5C68" w14:textId="23AA3737" w:rsidR="00CB7B9B" w:rsidRPr="00B961CC" w:rsidRDefault="00CB7B9B" w:rsidP="002D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CB7B9B" w:rsidRPr="003B333F" w14:paraId="23F3DD47" w14:textId="1D39B0B1" w:rsidTr="008D6555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D3F16" w14:textId="672E0279" w:rsidR="00CB7B9B" w:rsidRPr="00B961CC" w:rsidRDefault="00CB7B9B" w:rsidP="00CB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A3497" w14:textId="2AD37441" w:rsidR="0096473E" w:rsidRPr="00B961CC" w:rsidRDefault="00CB7B9B" w:rsidP="00964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C1">
              <w:rPr>
                <w:rFonts w:ascii="Times New Roman" w:hAnsi="Times New Roman" w:cs="Times New Roman"/>
                <w:sz w:val="24"/>
                <w:szCs w:val="24"/>
              </w:rPr>
              <w:t>Сума виплат, що здійснює МТСБУ</w:t>
            </w:r>
          </w:p>
          <w:p w14:paraId="7BF206EC" w14:textId="145C8FC1" w:rsidR="00CB7B9B" w:rsidRPr="00B961CC" w:rsidRDefault="00CB7B9B" w:rsidP="00CB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8416" w14:textId="1B76639C" w:rsidR="0096473E" w:rsidRDefault="00CB7B9B" w:rsidP="00964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Показник відображає суму </w:t>
            </w:r>
            <w:r w:rsidR="0096473E">
              <w:rPr>
                <w:rFonts w:ascii="Times New Roman" w:hAnsi="Times New Roman" w:cs="Times New Roman"/>
                <w:sz w:val="24"/>
                <w:szCs w:val="24"/>
              </w:rPr>
              <w:t>виплат</w:t>
            </w:r>
            <w:r w:rsidR="0096473E" w:rsidRPr="00302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555">
              <w:rPr>
                <w:rFonts w:ascii="Times New Roman" w:hAnsi="Times New Roman" w:cs="Times New Roman"/>
                <w:sz w:val="24"/>
                <w:szCs w:val="24"/>
              </w:rPr>
              <w:t>за типом «виплата відшкодування»</w:t>
            </w:r>
            <w:r w:rsidR="008D6555" w:rsidRPr="00B9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D6555" w:rsidRPr="00302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73E" w:rsidRPr="003025C1">
              <w:rPr>
                <w:rFonts w:ascii="Times New Roman" w:hAnsi="Times New Roman" w:cs="Times New Roman"/>
                <w:sz w:val="24"/>
                <w:szCs w:val="24"/>
              </w:rPr>
              <w:t>що здійснює МТСБУ</w:t>
            </w:r>
            <w:r w:rsidR="0096473E">
              <w:rPr>
                <w:rFonts w:ascii="Times New Roman" w:hAnsi="Times New Roman" w:cs="Times New Roman"/>
                <w:sz w:val="24"/>
                <w:szCs w:val="24"/>
              </w:rPr>
              <w:t>, та які</w:t>
            </w:r>
            <w:r w:rsidR="0096473E"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 на момент перегляду візуалізації</w:t>
            </w:r>
            <w:r w:rsidR="0096473E">
              <w:rPr>
                <w:rFonts w:ascii="Times New Roman" w:hAnsi="Times New Roman" w:cs="Times New Roman"/>
                <w:sz w:val="24"/>
                <w:szCs w:val="24"/>
              </w:rPr>
              <w:t xml:space="preserve"> були </w:t>
            </w:r>
            <w:r w:rsidR="0096473E" w:rsidRPr="00B961CC">
              <w:rPr>
                <w:rFonts w:ascii="Times New Roman" w:hAnsi="Times New Roman" w:cs="Times New Roman"/>
                <w:sz w:val="24"/>
                <w:szCs w:val="24"/>
              </w:rPr>
              <w:t>завантажені до БД</w:t>
            </w:r>
            <w:r w:rsidR="009647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473E"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73E" w:rsidRPr="003B333F">
              <w:rPr>
                <w:rFonts w:ascii="Times New Roman" w:hAnsi="Times New Roman" w:cs="Times New Roman"/>
                <w:sz w:val="24"/>
                <w:szCs w:val="24"/>
              </w:rPr>
              <w:t>з якої беруться дані для дашбордів</w:t>
            </w:r>
            <w:r w:rsidR="0096473E"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C27F5B6" w14:textId="77777777" w:rsidR="0096473E" w:rsidRDefault="0096473E" w:rsidP="00964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Враховуються виплати за категоріями:</w:t>
            </w:r>
          </w:p>
          <w:p w14:paraId="240A5063" w14:textId="77777777" w:rsidR="0096473E" w:rsidRPr="00CB7B9B" w:rsidRDefault="0096473E" w:rsidP="0096473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9B">
              <w:rPr>
                <w:rFonts w:ascii="Times New Roman" w:hAnsi="Times New Roman" w:cs="Times New Roman"/>
                <w:sz w:val="24"/>
                <w:szCs w:val="24"/>
              </w:rPr>
              <w:t xml:space="preserve">за незастрахованими ТЗ; </w:t>
            </w:r>
          </w:p>
          <w:p w14:paraId="3ABAB6D0" w14:textId="77777777" w:rsidR="0096473E" w:rsidRPr="00CB7B9B" w:rsidRDefault="0096473E" w:rsidP="0096473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9B">
              <w:rPr>
                <w:rFonts w:ascii="Times New Roman" w:hAnsi="Times New Roman" w:cs="Times New Roman"/>
                <w:sz w:val="24"/>
                <w:szCs w:val="24"/>
              </w:rPr>
              <w:t xml:space="preserve">за невстановленими ТЗ; </w:t>
            </w:r>
          </w:p>
          <w:p w14:paraId="28042307" w14:textId="77777777" w:rsidR="0096473E" w:rsidRPr="00CB7B9B" w:rsidRDefault="0096473E" w:rsidP="0096473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9B">
              <w:rPr>
                <w:rFonts w:ascii="Times New Roman" w:hAnsi="Times New Roman" w:cs="Times New Roman"/>
                <w:sz w:val="24"/>
                <w:szCs w:val="24"/>
              </w:rPr>
              <w:t xml:space="preserve">по пільговій категорії; </w:t>
            </w:r>
          </w:p>
          <w:p w14:paraId="41C098BD" w14:textId="77777777" w:rsidR="0096473E" w:rsidRPr="00CB7B9B" w:rsidRDefault="0096473E" w:rsidP="0096473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9B">
              <w:rPr>
                <w:rFonts w:ascii="Times New Roman" w:hAnsi="Times New Roman" w:cs="Times New Roman"/>
                <w:sz w:val="24"/>
                <w:szCs w:val="24"/>
              </w:rPr>
              <w:t xml:space="preserve">за протиправними діями; </w:t>
            </w:r>
          </w:p>
          <w:p w14:paraId="14B0524B" w14:textId="77777777" w:rsidR="0096473E" w:rsidRPr="00CB7B9B" w:rsidRDefault="0096473E" w:rsidP="0096473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9B">
              <w:rPr>
                <w:rFonts w:ascii="Times New Roman" w:hAnsi="Times New Roman" w:cs="Times New Roman"/>
                <w:sz w:val="24"/>
                <w:szCs w:val="24"/>
              </w:rPr>
              <w:t xml:space="preserve">за СК банкрут; </w:t>
            </w:r>
          </w:p>
          <w:p w14:paraId="4B51D399" w14:textId="77777777" w:rsidR="0096473E" w:rsidRDefault="0096473E" w:rsidP="0096473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9B">
              <w:rPr>
                <w:rFonts w:ascii="Times New Roman" w:hAnsi="Times New Roman" w:cs="Times New Roman"/>
                <w:sz w:val="24"/>
                <w:szCs w:val="24"/>
              </w:rPr>
              <w:t>з повернення базового гарантійного внеску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009229" w14:textId="72F42935" w:rsidR="004073AB" w:rsidRPr="00B961CC" w:rsidRDefault="0096473E" w:rsidP="00CB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Відбір даних здійснюється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датою виплати, яка повинна потрапляти у період, за який візуалізуються дані.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31A5" w14:textId="45F0AB71" w:rsidR="00CB7B9B" w:rsidRPr="00B961CC" w:rsidRDefault="00CB7B9B" w:rsidP="002D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5B63" w14:textId="3CEDDDB3" w:rsidR="00CB7B9B" w:rsidRPr="00B961CC" w:rsidRDefault="00CB7B9B" w:rsidP="002D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CB7B9B" w:rsidRPr="003B333F" w14:paraId="5507E384" w14:textId="77777777" w:rsidTr="008D6555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8DFA2" w14:textId="54BBC293" w:rsidR="00CB7B9B" w:rsidRDefault="00CB7B9B" w:rsidP="00CB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83EF7" w14:textId="4320A813" w:rsidR="00CB7B9B" w:rsidRPr="003025C1" w:rsidRDefault="006826C1" w:rsidP="00CB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Питома вага</w:t>
            </w:r>
            <w:r w:rsidR="00CB7B9B">
              <w:rPr>
                <w:rFonts w:ascii="Times New Roman" w:hAnsi="Times New Roman" w:cs="Times New Roman"/>
                <w:sz w:val="24"/>
                <w:szCs w:val="24"/>
              </w:rPr>
              <w:t xml:space="preserve"> суми виплат за окремою категорією від </w:t>
            </w:r>
            <w:r w:rsidR="00CB7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загальної кількості виплат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94C28" w14:textId="26FB8579" w:rsidR="0096473E" w:rsidRDefault="0096473E" w:rsidP="00964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Розраховується як </w:t>
            </w:r>
            <w:r w:rsidR="006826C1">
              <w:rPr>
                <w:rFonts w:ascii="Times New Roman" w:hAnsi="Times New Roman" w:cs="Times New Roman"/>
                <w:sz w:val="24"/>
                <w:szCs w:val="24"/>
              </w:rPr>
              <w:t>відсоток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суми виплат за окремою категорією </w:t>
            </w:r>
            <w:r w:rsidR="006826C1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загальної кількості виплат, що здійснюється МТСБУ.</w:t>
            </w:r>
          </w:p>
          <w:p w14:paraId="7D1DE48B" w14:textId="20DF60D7" w:rsidR="006826C1" w:rsidRDefault="006826C1" w:rsidP="00682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Розраховується питома вага суми виплат за категоріями:</w:t>
            </w:r>
          </w:p>
          <w:p w14:paraId="7ED5924B" w14:textId="77777777" w:rsidR="006826C1" w:rsidRPr="00CB7B9B" w:rsidRDefault="006826C1" w:rsidP="006826C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9B">
              <w:rPr>
                <w:rFonts w:ascii="Times New Roman" w:hAnsi="Times New Roman" w:cs="Times New Roman"/>
                <w:sz w:val="24"/>
                <w:szCs w:val="24"/>
              </w:rPr>
              <w:t xml:space="preserve">за незастрахованими ТЗ; </w:t>
            </w:r>
          </w:p>
          <w:p w14:paraId="625A335E" w14:textId="77777777" w:rsidR="006826C1" w:rsidRPr="00CB7B9B" w:rsidRDefault="006826C1" w:rsidP="006826C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невстановленими ТЗ; </w:t>
            </w:r>
          </w:p>
          <w:p w14:paraId="39717B2F" w14:textId="77777777" w:rsidR="006826C1" w:rsidRPr="00CB7B9B" w:rsidRDefault="006826C1" w:rsidP="006826C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9B">
              <w:rPr>
                <w:rFonts w:ascii="Times New Roman" w:hAnsi="Times New Roman" w:cs="Times New Roman"/>
                <w:sz w:val="24"/>
                <w:szCs w:val="24"/>
              </w:rPr>
              <w:t xml:space="preserve">по пільговій категорії; </w:t>
            </w:r>
          </w:p>
          <w:p w14:paraId="518F9257" w14:textId="77777777" w:rsidR="006826C1" w:rsidRPr="00CB7B9B" w:rsidRDefault="006826C1" w:rsidP="006826C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9B">
              <w:rPr>
                <w:rFonts w:ascii="Times New Roman" w:hAnsi="Times New Roman" w:cs="Times New Roman"/>
                <w:sz w:val="24"/>
                <w:szCs w:val="24"/>
              </w:rPr>
              <w:t xml:space="preserve">за протиправними діями; </w:t>
            </w:r>
          </w:p>
          <w:p w14:paraId="0BEDEC66" w14:textId="77777777" w:rsidR="006826C1" w:rsidRPr="00CB7B9B" w:rsidRDefault="006826C1" w:rsidP="006826C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9B">
              <w:rPr>
                <w:rFonts w:ascii="Times New Roman" w:hAnsi="Times New Roman" w:cs="Times New Roman"/>
                <w:sz w:val="24"/>
                <w:szCs w:val="24"/>
              </w:rPr>
              <w:t xml:space="preserve">за СК банкрут; </w:t>
            </w:r>
          </w:p>
          <w:p w14:paraId="4192C1E6" w14:textId="77777777" w:rsidR="006826C1" w:rsidRDefault="006826C1" w:rsidP="006826C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9B">
              <w:rPr>
                <w:rFonts w:ascii="Times New Roman" w:hAnsi="Times New Roman" w:cs="Times New Roman"/>
                <w:sz w:val="24"/>
                <w:szCs w:val="24"/>
              </w:rPr>
              <w:t>з повернення базового гарантійного внеску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A6F61A" w14:textId="77777777" w:rsidR="00CB7B9B" w:rsidRDefault="0096473E" w:rsidP="00964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Відбір даних здійснюється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датою виплати, яка повинна потрапляти у період, за який візуалізуються данні.</w:t>
            </w:r>
          </w:p>
          <w:p w14:paraId="28445FE6" w14:textId="483C13C5" w:rsidR="004073AB" w:rsidRPr="00B961CC" w:rsidRDefault="004073AB" w:rsidP="00964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Показник відображає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данні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, що завантажені на момент перегляду візуалізації до БД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33F">
              <w:rPr>
                <w:rFonts w:ascii="Times New Roman" w:hAnsi="Times New Roman" w:cs="Times New Roman"/>
                <w:sz w:val="24"/>
                <w:szCs w:val="24"/>
              </w:rPr>
              <w:t>з якої беруться дані для дашбордів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D00C" w14:textId="31E8B860" w:rsidR="00CB7B9B" w:rsidRPr="00B961CC" w:rsidRDefault="00CB7B9B" w:rsidP="002D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3FDC" w14:textId="47F61B75" w:rsidR="00CB7B9B" w:rsidRPr="00B961CC" w:rsidRDefault="00CB7B9B" w:rsidP="002D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</w:tbl>
    <w:p w14:paraId="6BFCC3E8" w14:textId="77777777" w:rsidR="008119EE" w:rsidRDefault="008119EE"/>
    <w:p w14:paraId="4B5F2456" w14:textId="390C95E6" w:rsidR="00CB7B9B" w:rsidRPr="00CB7B9B" w:rsidRDefault="00CB7B9B">
      <w:pPr>
        <w:rPr>
          <w:rFonts w:ascii="Times New Roman" w:hAnsi="Times New Roman" w:cs="Times New Roman"/>
        </w:rPr>
      </w:pPr>
      <w:r w:rsidRPr="00CB7B9B">
        <w:rPr>
          <w:rFonts w:ascii="Times New Roman" w:hAnsi="Times New Roman" w:cs="Times New Roman"/>
        </w:rPr>
        <w:t xml:space="preserve">Дані для відображення </w:t>
      </w:r>
      <w:r>
        <w:rPr>
          <w:rFonts w:ascii="Times New Roman" w:hAnsi="Times New Roman" w:cs="Times New Roman"/>
        </w:rPr>
        <w:t xml:space="preserve">на </w:t>
      </w:r>
      <w:proofErr w:type="spellStart"/>
      <w:r w:rsidRPr="00CB7B9B">
        <w:rPr>
          <w:rFonts w:ascii="Times New Roman" w:hAnsi="Times New Roman" w:cs="Times New Roman"/>
        </w:rPr>
        <w:t>дашборд</w:t>
      </w:r>
      <w:r>
        <w:rPr>
          <w:rFonts w:ascii="Times New Roman" w:hAnsi="Times New Roman" w:cs="Times New Roman"/>
        </w:rPr>
        <w:t>ах</w:t>
      </w:r>
      <w:proofErr w:type="spellEnd"/>
      <w:r w:rsidRPr="00CB7B9B">
        <w:rPr>
          <w:rFonts w:ascii="Times New Roman" w:hAnsi="Times New Roman" w:cs="Times New Roman"/>
        </w:rPr>
        <w:t xml:space="preserve"> беруться з окремої БД, до якої вони завантажуються з ЦБД. Оновлення даних відбувається раз на тиждень. Дата, на яку оновлені дані</w:t>
      </w:r>
      <w:r w:rsidR="006113B9">
        <w:rPr>
          <w:rFonts w:ascii="Times New Roman" w:hAnsi="Times New Roman" w:cs="Times New Roman"/>
        </w:rPr>
        <w:t>,</w:t>
      </w:r>
      <w:r w:rsidRPr="00CB7B9B">
        <w:rPr>
          <w:rFonts w:ascii="Times New Roman" w:hAnsi="Times New Roman" w:cs="Times New Roman"/>
        </w:rPr>
        <w:t xml:space="preserve"> повинна відображатися у підп</w:t>
      </w:r>
      <w:r w:rsidR="006113B9">
        <w:rPr>
          <w:rFonts w:ascii="Times New Roman" w:hAnsi="Times New Roman" w:cs="Times New Roman"/>
        </w:rPr>
        <w:t>исі</w:t>
      </w:r>
      <w:r w:rsidRPr="00CB7B9B">
        <w:rPr>
          <w:rFonts w:ascii="Times New Roman" w:hAnsi="Times New Roman" w:cs="Times New Roman"/>
        </w:rPr>
        <w:t xml:space="preserve"> на </w:t>
      </w:r>
      <w:proofErr w:type="spellStart"/>
      <w:r w:rsidRPr="00CB7B9B">
        <w:rPr>
          <w:rFonts w:ascii="Times New Roman" w:hAnsi="Times New Roman" w:cs="Times New Roman"/>
        </w:rPr>
        <w:t>дашборді</w:t>
      </w:r>
      <w:proofErr w:type="spellEnd"/>
      <w:r w:rsidRPr="00CB7B9B">
        <w:rPr>
          <w:rFonts w:ascii="Times New Roman" w:hAnsi="Times New Roman" w:cs="Times New Roman"/>
        </w:rPr>
        <w:t>.</w:t>
      </w:r>
    </w:p>
    <w:sectPr w:rsidR="00CB7B9B" w:rsidRPr="00CB7B9B" w:rsidSect="008D6555">
      <w:headerReference w:type="default" r:id="rId7"/>
      <w:pgSz w:w="16838" w:h="11906" w:orient="landscape"/>
      <w:pgMar w:top="709" w:right="850" w:bottom="568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FFD06" w14:textId="77777777" w:rsidR="004073AB" w:rsidRDefault="004073AB" w:rsidP="004073AB">
      <w:pPr>
        <w:spacing w:after="0" w:line="240" w:lineRule="auto"/>
      </w:pPr>
      <w:r>
        <w:separator/>
      </w:r>
    </w:p>
  </w:endnote>
  <w:endnote w:type="continuationSeparator" w:id="0">
    <w:p w14:paraId="56A994FE" w14:textId="77777777" w:rsidR="004073AB" w:rsidRDefault="004073AB" w:rsidP="0040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C051A" w14:textId="77777777" w:rsidR="004073AB" w:rsidRDefault="004073AB" w:rsidP="004073AB">
      <w:pPr>
        <w:spacing w:after="0" w:line="240" w:lineRule="auto"/>
      </w:pPr>
      <w:r>
        <w:separator/>
      </w:r>
    </w:p>
  </w:footnote>
  <w:footnote w:type="continuationSeparator" w:id="0">
    <w:p w14:paraId="31AE5CF7" w14:textId="77777777" w:rsidR="004073AB" w:rsidRDefault="004073AB" w:rsidP="00407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5896686"/>
      <w:docPartObj>
        <w:docPartGallery w:val="Page Numbers (Top of Page)"/>
        <w:docPartUnique/>
      </w:docPartObj>
    </w:sdtPr>
    <w:sdtEndPr/>
    <w:sdtContent>
      <w:p w14:paraId="50D4E515" w14:textId="4D29D279" w:rsidR="004073AB" w:rsidRDefault="004073AB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C82DCD" w14:textId="77777777" w:rsidR="004073AB" w:rsidRDefault="004073AB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091"/>
    <w:multiLevelType w:val="hybridMultilevel"/>
    <w:tmpl w:val="A00A14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0075E"/>
    <w:multiLevelType w:val="hybridMultilevel"/>
    <w:tmpl w:val="0C3012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05943"/>
    <w:multiLevelType w:val="hybridMultilevel"/>
    <w:tmpl w:val="58CE71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52DA5"/>
    <w:multiLevelType w:val="hybridMultilevel"/>
    <w:tmpl w:val="A0BA9260"/>
    <w:lvl w:ilvl="0" w:tplc="915051D4">
      <w:numFmt w:val="bullet"/>
      <w:lvlText w:val="•"/>
      <w:lvlJc w:val="left"/>
      <w:pPr>
        <w:ind w:left="53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4" w15:restartNumberingAfterBreak="0">
    <w:nsid w:val="43C21CAC"/>
    <w:multiLevelType w:val="hybridMultilevel"/>
    <w:tmpl w:val="54603F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31D7A"/>
    <w:multiLevelType w:val="hybridMultilevel"/>
    <w:tmpl w:val="4148EA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9EF60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85EC1"/>
    <w:multiLevelType w:val="hybridMultilevel"/>
    <w:tmpl w:val="A69082AE"/>
    <w:lvl w:ilvl="0" w:tplc="0422000F">
      <w:start w:val="1"/>
      <w:numFmt w:val="decimal"/>
      <w:lvlText w:val="%1."/>
      <w:lvlJc w:val="left"/>
      <w:pPr>
        <w:ind w:left="1069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743E2"/>
    <w:multiLevelType w:val="hybridMultilevel"/>
    <w:tmpl w:val="115A29E4"/>
    <w:lvl w:ilvl="0" w:tplc="915051D4">
      <w:numFmt w:val="bullet"/>
      <w:lvlText w:val="•"/>
      <w:lvlJc w:val="left"/>
      <w:pPr>
        <w:ind w:left="70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8" w15:restartNumberingAfterBreak="0">
    <w:nsid w:val="7A6968B6"/>
    <w:multiLevelType w:val="hybridMultilevel"/>
    <w:tmpl w:val="92B6E4A8"/>
    <w:lvl w:ilvl="0" w:tplc="915051D4">
      <w:numFmt w:val="bullet"/>
      <w:lvlText w:val="•"/>
      <w:lvlJc w:val="left"/>
      <w:pPr>
        <w:ind w:left="53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995381">
    <w:abstractNumId w:val="6"/>
  </w:num>
  <w:num w:numId="2" w16cid:durableId="1350568131">
    <w:abstractNumId w:val="4"/>
  </w:num>
  <w:num w:numId="3" w16cid:durableId="109786874">
    <w:abstractNumId w:val="0"/>
  </w:num>
  <w:num w:numId="4" w16cid:durableId="1817062798">
    <w:abstractNumId w:val="5"/>
  </w:num>
  <w:num w:numId="5" w16cid:durableId="1274822396">
    <w:abstractNumId w:val="1"/>
  </w:num>
  <w:num w:numId="6" w16cid:durableId="628895206">
    <w:abstractNumId w:val="2"/>
  </w:num>
  <w:num w:numId="7" w16cid:durableId="1865170249">
    <w:abstractNumId w:val="3"/>
  </w:num>
  <w:num w:numId="8" w16cid:durableId="354354382">
    <w:abstractNumId w:val="8"/>
  </w:num>
  <w:num w:numId="9" w16cid:durableId="430616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EE"/>
    <w:rsid w:val="00012866"/>
    <w:rsid w:val="00052CC7"/>
    <w:rsid w:val="000759A6"/>
    <w:rsid w:val="000A0E30"/>
    <w:rsid w:val="000A4FD8"/>
    <w:rsid w:val="00135024"/>
    <w:rsid w:val="00190CEA"/>
    <w:rsid w:val="002203F5"/>
    <w:rsid w:val="002A6230"/>
    <w:rsid w:val="002A6F4A"/>
    <w:rsid w:val="002D3AF6"/>
    <w:rsid w:val="002E1B7D"/>
    <w:rsid w:val="003359E5"/>
    <w:rsid w:val="003731A6"/>
    <w:rsid w:val="00387347"/>
    <w:rsid w:val="004073AB"/>
    <w:rsid w:val="004505AA"/>
    <w:rsid w:val="00464276"/>
    <w:rsid w:val="004924DC"/>
    <w:rsid w:val="004D2AF5"/>
    <w:rsid w:val="00543E03"/>
    <w:rsid w:val="00594D53"/>
    <w:rsid w:val="006014D0"/>
    <w:rsid w:val="006113B9"/>
    <w:rsid w:val="006826C1"/>
    <w:rsid w:val="00691CC8"/>
    <w:rsid w:val="006A4B09"/>
    <w:rsid w:val="0071647B"/>
    <w:rsid w:val="007B3AB1"/>
    <w:rsid w:val="007E55C9"/>
    <w:rsid w:val="008119EE"/>
    <w:rsid w:val="008148C4"/>
    <w:rsid w:val="0085439C"/>
    <w:rsid w:val="008B3C99"/>
    <w:rsid w:val="008D6555"/>
    <w:rsid w:val="009251A6"/>
    <w:rsid w:val="0096473E"/>
    <w:rsid w:val="009A5823"/>
    <w:rsid w:val="00A46F40"/>
    <w:rsid w:val="00B6595A"/>
    <w:rsid w:val="00CB7B9B"/>
    <w:rsid w:val="00CE2ABA"/>
    <w:rsid w:val="00D43DCF"/>
    <w:rsid w:val="00D6778F"/>
    <w:rsid w:val="00D84BA8"/>
    <w:rsid w:val="00DD767F"/>
    <w:rsid w:val="00F4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4157"/>
  <w15:chartTrackingRefBased/>
  <w15:docId w15:val="{0936CE0F-09A2-424D-8ADA-C388D268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HAnsi"/>
        <w:kern w:val="2"/>
        <w:sz w:val="24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9EE"/>
    <w:rPr>
      <w:rFonts w:asciiTheme="minorHAnsi" w:eastAsiaTheme="minorHAnsi" w:hAnsiTheme="minorHAnsi" w:cstheme="minorBidi"/>
      <w:sz w:val="22"/>
    </w:rPr>
  </w:style>
  <w:style w:type="paragraph" w:styleId="1">
    <w:name w:val="heading 1"/>
    <w:basedOn w:val="a"/>
    <w:next w:val="a"/>
    <w:link w:val="10"/>
    <w:uiPriority w:val="9"/>
    <w:qFormat/>
    <w:rsid w:val="00CE2ABA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E03"/>
    <w:pPr>
      <w:keepNext/>
      <w:keepLines/>
      <w:spacing w:before="120" w:after="120" w:line="240" w:lineRule="auto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A4FD8"/>
    <w:pPr>
      <w:keepNext/>
      <w:keepLines/>
      <w:spacing w:before="120" w:after="120" w:line="240" w:lineRule="auto"/>
      <w:outlineLvl w:val="2"/>
    </w:pPr>
    <w:rPr>
      <w:rFonts w:eastAsiaTheme="majorEastAsia" w:cstheme="majorBidi"/>
      <w:b/>
      <w:color w:val="000000" w:themeColor="text1"/>
      <w:sz w:val="26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9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9E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9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9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9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9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ABA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43E03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A4FD8"/>
    <w:rPr>
      <w:rFonts w:eastAsiaTheme="majorEastAsia" w:cstheme="majorBidi"/>
      <w:b/>
      <w:color w:val="000000" w:themeColor="text1"/>
      <w:sz w:val="26"/>
      <w:szCs w:val="24"/>
    </w:rPr>
  </w:style>
  <w:style w:type="paragraph" w:styleId="a3">
    <w:name w:val="caption"/>
    <w:basedOn w:val="a"/>
    <w:next w:val="a"/>
    <w:uiPriority w:val="35"/>
    <w:unhideWhenUsed/>
    <w:qFormat/>
    <w:rsid w:val="000A4FD8"/>
    <w:pPr>
      <w:spacing w:before="120" w:after="120" w:line="240" w:lineRule="auto"/>
    </w:pPr>
    <w:rPr>
      <w:iCs/>
      <w:color w:val="000000" w:themeColor="text1"/>
      <w:szCs w:val="18"/>
    </w:rPr>
  </w:style>
  <w:style w:type="paragraph" w:styleId="a4">
    <w:name w:val="List Paragraph"/>
    <w:basedOn w:val="a"/>
    <w:uiPriority w:val="34"/>
    <w:qFormat/>
    <w:rsid w:val="000A4FD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119EE"/>
    <w:rPr>
      <w:rFonts w:asciiTheme="minorHAnsi" w:eastAsiaTheme="majorEastAsia" w:hAnsiTheme="minorHAnsi" w:cstheme="majorBidi"/>
      <w:i/>
      <w:iCs/>
      <w:color w:val="2E74B5" w:themeColor="accent1" w:themeShade="BF"/>
      <w:szCs w:val="20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8119EE"/>
    <w:rPr>
      <w:rFonts w:asciiTheme="minorHAnsi" w:eastAsiaTheme="majorEastAsia" w:hAnsiTheme="minorHAnsi" w:cstheme="majorBidi"/>
      <w:color w:val="2E74B5" w:themeColor="accent1" w:themeShade="BF"/>
      <w:szCs w:val="20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8119EE"/>
    <w:rPr>
      <w:rFonts w:asciiTheme="minorHAnsi" w:eastAsiaTheme="majorEastAsia" w:hAnsiTheme="minorHAnsi" w:cstheme="majorBidi"/>
      <w:i/>
      <w:iCs/>
      <w:color w:val="595959" w:themeColor="text1" w:themeTint="A6"/>
      <w:szCs w:val="20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8119EE"/>
    <w:rPr>
      <w:rFonts w:asciiTheme="minorHAnsi" w:eastAsiaTheme="majorEastAsia" w:hAnsiTheme="minorHAnsi" w:cstheme="majorBidi"/>
      <w:color w:val="595959" w:themeColor="text1" w:themeTint="A6"/>
      <w:szCs w:val="20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8119EE"/>
    <w:rPr>
      <w:rFonts w:asciiTheme="minorHAnsi" w:eastAsiaTheme="majorEastAsia" w:hAnsiTheme="minorHAnsi" w:cstheme="majorBidi"/>
      <w:i/>
      <w:iCs/>
      <w:color w:val="272727" w:themeColor="text1" w:themeTint="D8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8119EE"/>
    <w:rPr>
      <w:rFonts w:asciiTheme="minorHAnsi" w:eastAsiaTheme="majorEastAsia" w:hAnsiTheme="minorHAnsi" w:cstheme="majorBidi"/>
      <w:color w:val="272727" w:themeColor="text1" w:themeTint="D8"/>
      <w:szCs w:val="20"/>
      <w:lang w:val="ru-RU"/>
    </w:rPr>
  </w:style>
  <w:style w:type="paragraph" w:styleId="a5">
    <w:name w:val="Title"/>
    <w:basedOn w:val="a"/>
    <w:next w:val="a"/>
    <w:link w:val="a6"/>
    <w:uiPriority w:val="10"/>
    <w:qFormat/>
    <w:rsid w:val="008119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 Знак"/>
    <w:basedOn w:val="a0"/>
    <w:link w:val="a5"/>
    <w:uiPriority w:val="10"/>
    <w:rsid w:val="008119EE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7">
    <w:name w:val="Subtitle"/>
    <w:basedOn w:val="a"/>
    <w:next w:val="a"/>
    <w:link w:val="a8"/>
    <w:uiPriority w:val="11"/>
    <w:qFormat/>
    <w:rsid w:val="008119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Підзаголовок Знак"/>
    <w:basedOn w:val="a0"/>
    <w:link w:val="a7"/>
    <w:uiPriority w:val="11"/>
    <w:rsid w:val="008119E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u-RU"/>
    </w:rPr>
  </w:style>
  <w:style w:type="paragraph" w:styleId="a9">
    <w:name w:val="Quote"/>
    <w:basedOn w:val="a"/>
    <w:next w:val="a"/>
    <w:link w:val="aa"/>
    <w:uiPriority w:val="29"/>
    <w:qFormat/>
    <w:rsid w:val="00811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Цитата Знак"/>
    <w:basedOn w:val="a0"/>
    <w:link w:val="a9"/>
    <w:uiPriority w:val="29"/>
    <w:rsid w:val="008119EE"/>
    <w:rPr>
      <w:rFonts w:cs="Times New Roman"/>
      <w:i/>
      <w:iCs/>
      <w:color w:val="404040" w:themeColor="text1" w:themeTint="BF"/>
      <w:szCs w:val="20"/>
      <w:lang w:val="ru-RU"/>
    </w:rPr>
  </w:style>
  <w:style w:type="character" w:styleId="ab">
    <w:name w:val="Intense Emphasis"/>
    <w:basedOn w:val="a0"/>
    <w:uiPriority w:val="21"/>
    <w:qFormat/>
    <w:rsid w:val="008119EE"/>
    <w:rPr>
      <w:i/>
      <w:iCs/>
      <w:color w:val="2E74B5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8119E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d">
    <w:name w:val="Насичена цитата Знак"/>
    <w:basedOn w:val="a0"/>
    <w:link w:val="ac"/>
    <w:uiPriority w:val="30"/>
    <w:rsid w:val="008119EE"/>
    <w:rPr>
      <w:rFonts w:cs="Times New Roman"/>
      <w:i/>
      <w:iCs/>
      <w:color w:val="2E74B5" w:themeColor="accent1" w:themeShade="BF"/>
      <w:szCs w:val="20"/>
      <w:lang w:val="ru-RU"/>
    </w:rPr>
  </w:style>
  <w:style w:type="character" w:styleId="ae">
    <w:name w:val="Intense Reference"/>
    <w:basedOn w:val="a0"/>
    <w:uiPriority w:val="32"/>
    <w:qFormat/>
    <w:rsid w:val="008119EE"/>
    <w:rPr>
      <w:b/>
      <w:bCs/>
      <w:smallCaps/>
      <w:color w:val="2E74B5" w:themeColor="accent1" w:themeShade="BF"/>
      <w:spacing w:val="5"/>
    </w:rPr>
  </w:style>
  <w:style w:type="table" w:styleId="af">
    <w:name w:val="Table Grid"/>
    <w:basedOn w:val="a1"/>
    <w:uiPriority w:val="39"/>
    <w:rsid w:val="008119EE"/>
    <w:pPr>
      <w:spacing w:after="0" w:line="240" w:lineRule="auto"/>
    </w:pPr>
    <w:rPr>
      <w:rFonts w:asciiTheme="minorHAnsi" w:eastAsia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8119EE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8119EE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rsid w:val="008119EE"/>
    <w:rPr>
      <w:rFonts w:asciiTheme="minorHAnsi" w:eastAsiaTheme="minorHAnsi" w:hAnsiTheme="minorHAnsi" w:cstheme="minorBidi"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4073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4073AB"/>
    <w:rPr>
      <w:rFonts w:asciiTheme="minorHAnsi" w:eastAsiaTheme="minorHAnsi" w:hAnsiTheme="minorHAnsi" w:cstheme="minorBidi"/>
      <w:sz w:val="22"/>
    </w:rPr>
  </w:style>
  <w:style w:type="paragraph" w:styleId="af5">
    <w:name w:val="footer"/>
    <w:basedOn w:val="a"/>
    <w:link w:val="af6"/>
    <w:uiPriority w:val="99"/>
    <w:unhideWhenUsed/>
    <w:rsid w:val="004073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4073AB"/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8715</Words>
  <Characters>4968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 Тетяна</dc:creator>
  <cp:keywords/>
  <dc:description/>
  <cp:lastModifiedBy>Герега Олег</cp:lastModifiedBy>
  <cp:revision>23</cp:revision>
  <dcterms:created xsi:type="dcterms:W3CDTF">2024-02-12T12:59:00Z</dcterms:created>
  <dcterms:modified xsi:type="dcterms:W3CDTF">2024-02-19T08:50:00Z</dcterms:modified>
</cp:coreProperties>
</file>